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4" w:type="dxa"/>
        <w:tblInd w:w="288" w:type="dxa"/>
        <w:tblLayout w:type="fixed"/>
        <w:tblLook w:val="0000" w:firstRow="0" w:lastRow="0" w:firstColumn="0" w:lastColumn="0" w:noHBand="0" w:noVBand="0"/>
      </w:tblPr>
      <w:tblGrid>
        <w:gridCol w:w="1774"/>
        <w:gridCol w:w="1350"/>
        <w:gridCol w:w="900"/>
        <w:gridCol w:w="8370"/>
        <w:gridCol w:w="1710"/>
      </w:tblGrid>
      <w:tr w:rsidR="001453B0" w:rsidRPr="00BE383E"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rsidR="001453B0" w:rsidRPr="00EA52E9" w:rsidRDefault="00B53238" w:rsidP="00B53238">
            <w:pPr>
              <w:tabs>
                <w:tab w:val="left" w:pos="3368"/>
              </w:tabs>
              <w:spacing w:after="60"/>
              <w:rPr>
                <w:rFonts w:ascii="Calibri" w:hAnsi="Calibri"/>
                <w:b/>
                <w:szCs w:val="22"/>
              </w:rPr>
            </w:pPr>
            <w:r w:rsidRPr="00EA52E9">
              <w:rPr>
                <w:rFonts w:ascii="Calibri" w:hAnsi="Calibri"/>
                <w:b/>
                <w:szCs w:val="22"/>
              </w:rPr>
              <w:t>Patient, caregiver and family education and support WG</w:t>
            </w:r>
            <w:r w:rsidR="00E1616A">
              <w:rPr>
                <w:rFonts w:ascii="Calibri" w:hAnsi="Calibri"/>
                <w:b/>
                <w:szCs w:val="22"/>
              </w:rPr>
              <w:t xml:space="preserve"> Strategy Meeting                         </w:t>
            </w:r>
          </w:p>
        </w:tc>
      </w:tr>
      <w:tr w:rsidR="001453B0" w:rsidRPr="00BE383E"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rsidR="001453B0" w:rsidRPr="00EA52E9" w:rsidRDefault="001453B0" w:rsidP="004C1F47">
            <w:pPr>
              <w:spacing w:after="60"/>
              <w:rPr>
                <w:rFonts w:ascii="Calibri" w:hAnsi="Calibri"/>
                <w:b/>
                <w:szCs w:val="22"/>
              </w:rPr>
            </w:pPr>
            <w:r w:rsidRPr="00EA52E9">
              <w:rPr>
                <w:rFonts w:ascii="Calibri" w:hAnsi="Calibri"/>
                <w:b/>
                <w:szCs w:val="22"/>
              </w:rPr>
              <w:t xml:space="preserve">Date: </w:t>
            </w:r>
            <w:r w:rsidR="004C1F47">
              <w:rPr>
                <w:rFonts w:ascii="Calibri" w:hAnsi="Calibri"/>
                <w:b/>
                <w:szCs w:val="22"/>
              </w:rPr>
              <w:t xml:space="preserve">10/13/16 </w:t>
            </w:r>
            <w:r w:rsidRPr="00EA52E9">
              <w:rPr>
                <w:rFonts w:ascii="Calibri" w:hAnsi="Calibri"/>
                <w:b/>
                <w:szCs w:val="22"/>
              </w:rPr>
              <w:t xml:space="preserve">Start Time: </w:t>
            </w:r>
            <w:r w:rsidR="004C1F47">
              <w:rPr>
                <w:rFonts w:ascii="Calibri" w:hAnsi="Calibri"/>
                <w:b/>
                <w:szCs w:val="22"/>
              </w:rPr>
              <w:t>9:30</w:t>
            </w:r>
            <w:r w:rsidR="00B27A32">
              <w:rPr>
                <w:rFonts w:ascii="Calibri" w:hAnsi="Calibri"/>
                <w:b/>
                <w:szCs w:val="22"/>
              </w:rPr>
              <w:t>a</w:t>
            </w:r>
            <w:r w:rsidR="007F33BD">
              <w:rPr>
                <w:rFonts w:ascii="Calibri" w:hAnsi="Calibri"/>
                <w:b/>
                <w:szCs w:val="22"/>
              </w:rPr>
              <w:t>m</w:t>
            </w:r>
            <w:r w:rsidR="00EA52E9">
              <w:rPr>
                <w:rFonts w:ascii="Calibri" w:hAnsi="Calibri"/>
                <w:b/>
                <w:szCs w:val="22"/>
              </w:rPr>
              <w:t xml:space="preserve">CST </w:t>
            </w:r>
            <w:r w:rsidRPr="00EA52E9">
              <w:rPr>
                <w:rFonts w:ascii="Calibri" w:hAnsi="Calibri"/>
                <w:b/>
                <w:szCs w:val="22"/>
              </w:rPr>
              <w:t xml:space="preserve">End Time: </w:t>
            </w:r>
            <w:r w:rsidR="004C1F47">
              <w:rPr>
                <w:rFonts w:ascii="Calibri" w:hAnsi="Calibri"/>
                <w:b/>
                <w:szCs w:val="22"/>
              </w:rPr>
              <w:t>10:30a</w:t>
            </w:r>
            <w:r w:rsidR="00B53238" w:rsidRPr="00EA52E9">
              <w:rPr>
                <w:rFonts w:ascii="Calibri" w:hAnsi="Calibri"/>
                <w:b/>
                <w:szCs w:val="22"/>
              </w:rPr>
              <w:t>m</w:t>
            </w:r>
            <w:r w:rsidR="00EA52E9">
              <w:rPr>
                <w:rFonts w:ascii="Calibri" w:hAnsi="Calibri"/>
                <w:b/>
                <w:szCs w:val="22"/>
              </w:rPr>
              <w:t xml:space="preserve"> CST</w:t>
            </w:r>
          </w:p>
        </w:tc>
      </w:tr>
      <w:tr w:rsidR="001453B0" w:rsidRPr="003C2B24" w:rsidTr="00461488">
        <w:tc>
          <w:tcPr>
            <w:tcW w:w="14104" w:type="dxa"/>
            <w:gridSpan w:val="5"/>
            <w:tcBorders>
              <w:top w:val="single" w:sz="4" w:space="0" w:color="auto"/>
              <w:left w:val="single" w:sz="4" w:space="0" w:color="auto"/>
              <w:bottom w:val="single" w:sz="6" w:space="0" w:color="auto"/>
              <w:right w:val="single" w:sz="4" w:space="0" w:color="auto"/>
            </w:tcBorders>
          </w:tcPr>
          <w:p w:rsidR="00AF5D57" w:rsidRPr="00D442FF" w:rsidRDefault="001453B0" w:rsidP="00F03E80">
            <w:pPr>
              <w:spacing w:after="120"/>
              <w:rPr>
                <w:rFonts w:ascii="Calibri" w:hAnsi="Calibri" w:cs="Times"/>
                <w:szCs w:val="22"/>
              </w:rPr>
            </w:pPr>
            <w:r w:rsidRPr="00EA52E9">
              <w:rPr>
                <w:rFonts w:ascii="Calibri" w:hAnsi="Calibri"/>
                <w:b/>
                <w:szCs w:val="22"/>
              </w:rPr>
              <w:t xml:space="preserve">Attendees: </w:t>
            </w:r>
            <w:r w:rsidR="00EA52E9" w:rsidRPr="001F67AE">
              <w:rPr>
                <w:rFonts w:ascii="Calibri" w:hAnsi="Calibri" w:cs="Times"/>
                <w:szCs w:val="22"/>
              </w:rPr>
              <w:t xml:space="preserve">Kim </w:t>
            </w:r>
            <w:proofErr w:type="spellStart"/>
            <w:r w:rsidR="00EA52E9" w:rsidRPr="001F67AE">
              <w:rPr>
                <w:rFonts w:ascii="Calibri" w:hAnsi="Calibri" w:cs="Times"/>
                <w:szCs w:val="22"/>
              </w:rPr>
              <w:t>Schmit-Pokorny</w:t>
            </w:r>
            <w:proofErr w:type="spellEnd"/>
            <w:r w:rsidR="00EA52E9" w:rsidRPr="001F67AE">
              <w:rPr>
                <w:rFonts w:ascii="Calibri" w:hAnsi="Calibri" w:cs="Times"/>
                <w:szCs w:val="22"/>
              </w:rPr>
              <w:t xml:space="preserve">, RN, MSN, OCN, BMTCN (co-chair); </w:t>
            </w:r>
            <w:r w:rsidR="00F03E80" w:rsidRPr="001F67AE">
              <w:rPr>
                <w:rFonts w:ascii="Calibri" w:hAnsi="Calibri" w:cs="Times"/>
                <w:szCs w:val="22"/>
              </w:rPr>
              <w:t>Alva Roche-Green, MD (co-chair);</w:t>
            </w:r>
            <w:r w:rsidR="00F03E80">
              <w:rPr>
                <w:rFonts w:ascii="Calibri" w:hAnsi="Calibri" w:cs="Times"/>
                <w:szCs w:val="22"/>
              </w:rPr>
              <w:t xml:space="preserve"> </w:t>
            </w:r>
            <w:r w:rsidR="00EA52E9" w:rsidRPr="001F67AE">
              <w:rPr>
                <w:rFonts w:ascii="Calibri" w:hAnsi="Calibri" w:cs="Times"/>
                <w:szCs w:val="22"/>
              </w:rPr>
              <w:t>Jackie Foster, MPH, RN (lead NMDP staff)</w:t>
            </w:r>
            <w:r w:rsidR="004C1F47">
              <w:rPr>
                <w:rFonts w:ascii="Calibri" w:hAnsi="Calibri" w:cs="Times"/>
                <w:szCs w:val="22"/>
              </w:rPr>
              <w:t xml:space="preserve">, </w:t>
            </w:r>
            <w:r w:rsidR="004C1F47" w:rsidRPr="001F67AE">
              <w:rPr>
                <w:rFonts w:ascii="Calibri" w:hAnsi="Calibri" w:cs="Times"/>
                <w:szCs w:val="22"/>
              </w:rPr>
              <w:t>Kate Houg (NMDP admin staff)</w:t>
            </w:r>
            <w:bookmarkStart w:id="0" w:name="_GoBack"/>
            <w:bookmarkEnd w:id="0"/>
          </w:p>
        </w:tc>
      </w:tr>
      <w:tr w:rsidR="001453B0" w:rsidRPr="00882F60" w:rsidTr="00B50511">
        <w:tc>
          <w:tcPr>
            <w:tcW w:w="1774" w:type="dxa"/>
            <w:tcBorders>
              <w:top w:val="single" w:sz="6" w:space="0" w:color="auto"/>
              <w:left w:val="single" w:sz="6" w:space="0" w:color="auto"/>
              <w:bottom w:val="single" w:sz="6" w:space="0" w:color="auto"/>
              <w:right w:val="single" w:sz="6" w:space="0" w:color="auto"/>
            </w:tcBorders>
            <w:shd w:val="clear" w:color="auto" w:fill="E6E6E6"/>
          </w:tcPr>
          <w:p w:rsidR="001453B0" w:rsidRPr="00EA52E9" w:rsidRDefault="001453B0" w:rsidP="00461488">
            <w:pPr>
              <w:jc w:val="center"/>
              <w:rPr>
                <w:rFonts w:ascii="Calibri" w:hAnsi="Calibri"/>
                <w:b/>
                <w:szCs w:val="22"/>
              </w:rPr>
            </w:pPr>
            <w:r w:rsidRPr="00EA52E9">
              <w:rPr>
                <w:rFonts w:ascii="Calibri" w:hAnsi="Calibri"/>
                <w:b/>
                <w:szCs w:val="22"/>
              </w:rPr>
              <w:t>TOPIC</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1453B0" w:rsidRPr="00EA52E9" w:rsidRDefault="001453B0" w:rsidP="00461488">
            <w:pPr>
              <w:jc w:val="center"/>
              <w:rPr>
                <w:rFonts w:ascii="Calibri" w:hAnsi="Calibri"/>
                <w:b/>
                <w:szCs w:val="22"/>
              </w:rPr>
            </w:pPr>
            <w:r w:rsidRPr="00EA52E9">
              <w:rPr>
                <w:rFonts w:ascii="Calibri" w:hAnsi="Calibri"/>
                <w:b/>
                <w:szCs w:val="22"/>
              </w:rPr>
              <w:t>DISCUSSION</w:t>
            </w:r>
          </w:p>
          <w:p w:rsidR="001453B0" w:rsidRPr="00EA52E9" w:rsidRDefault="001453B0" w:rsidP="00461488">
            <w:pPr>
              <w:jc w:val="center"/>
              <w:rPr>
                <w:rFonts w:ascii="Calibri" w:hAnsi="Calibri"/>
                <w:b/>
                <w:szCs w:val="22"/>
              </w:rPr>
            </w:pPr>
            <w:r w:rsidRPr="00EA52E9">
              <w:rPr>
                <w:rFonts w:ascii="Calibri" w:hAnsi="Calibri"/>
                <w:b/>
                <w:szCs w:val="22"/>
              </w:rPr>
              <w:t>LEADER</w:t>
            </w:r>
          </w:p>
        </w:tc>
        <w:tc>
          <w:tcPr>
            <w:tcW w:w="900" w:type="dxa"/>
            <w:tcBorders>
              <w:top w:val="single" w:sz="6" w:space="0" w:color="auto"/>
              <w:left w:val="single" w:sz="6" w:space="0" w:color="auto"/>
              <w:bottom w:val="single" w:sz="4" w:space="0" w:color="auto"/>
              <w:right w:val="single" w:sz="6" w:space="0" w:color="auto"/>
            </w:tcBorders>
            <w:shd w:val="clear" w:color="auto" w:fill="E6E6E6"/>
          </w:tcPr>
          <w:p w:rsidR="001453B0" w:rsidRPr="00EA52E9" w:rsidRDefault="001453B0" w:rsidP="00461488">
            <w:pPr>
              <w:tabs>
                <w:tab w:val="center" w:pos="4019"/>
                <w:tab w:val="right" w:pos="8038"/>
              </w:tabs>
              <w:jc w:val="center"/>
              <w:rPr>
                <w:rFonts w:ascii="Calibri" w:hAnsi="Calibri"/>
                <w:b/>
                <w:szCs w:val="22"/>
              </w:rPr>
            </w:pPr>
            <w:r w:rsidRPr="00EA52E9">
              <w:rPr>
                <w:rFonts w:ascii="Calibri" w:hAnsi="Calibri"/>
                <w:b/>
                <w:szCs w:val="22"/>
              </w:rPr>
              <w:t>Time</w:t>
            </w:r>
          </w:p>
        </w:tc>
        <w:tc>
          <w:tcPr>
            <w:tcW w:w="8370" w:type="dxa"/>
            <w:tcBorders>
              <w:top w:val="single" w:sz="6" w:space="0" w:color="auto"/>
              <w:left w:val="single" w:sz="6" w:space="0" w:color="auto"/>
              <w:bottom w:val="single" w:sz="4" w:space="0" w:color="auto"/>
              <w:right w:val="single" w:sz="6" w:space="0" w:color="auto"/>
            </w:tcBorders>
            <w:shd w:val="clear" w:color="auto" w:fill="E6E6E6"/>
          </w:tcPr>
          <w:p w:rsidR="001453B0" w:rsidRDefault="001453B0" w:rsidP="00461488">
            <w:pPr>
              <w:spacing w:before="60" w:after="60"/>
            </w:pPr>
            <w:r w:rsidRPr="00882F60">
              <w:rPr>
                <w:b/>
                <w:szCs w:val="22"/>
              </w:rPr>
              <w:t>DISCUSSION SUMMARY</w:t>
            </w:r>
          </w:p>
        </w:tc>
        <w:tc>
          <w:tcPr>
            <w:tcW w:w="1710" w:type="dxa"/>
            <w:tcBorders>
              <w:top w:val="single" w:sz="6" w:space="0" w:color="auto"/>
              <w:left w:val="single" w:sz="6" w:space="0" w:color="auto"/>
              <w:bottom w:val="single" w:sz="4" w:space="0" w:color="auto"/>
              <w:right w:val="single" w:sz="6" w:space="0" w:color="auto"/>
            </w:tcBorders>
            <w:shd w:val="clear" w:color="auto" w:fill="E6E6E6"/>
          </w:tcPr>
          <w:p w:rsidR="001453B0" w:rsidRPr="00882F60" w:rsidRDefault="001453B0" w:rsidP="00461488">
            <w:pPr>
              <w:spacing w:before="60" w:after="60"/>
              <w:rPr>
                <w:b/>
                <w:szCs w:val="22"/>
              </w:rPr>
            </w:pPr>
            <w:r>
              <w:rPr>
                <w:b/>
                <w:szCs w:val="22"/>
              </w:rPr>
              <w:t>Action Items</w:t>
            </w:r>
          </w:p>
        </w:tc>
      </w:tr>
      <w:tr w:rsidR="001453B0" w:rsidRPr="009F5BF6" w:rsidTr="00B50511">
        <w:tc>
          <w:tcPr>
            <w:tcW w:w="1774" w:type="dxa"/>
            <w:tcBorders>
              <w:top w:val="single" w:sz="6" w:space="0" w:color="auto"/>
              <w:left w:val="single" w:sz="6" w:space="0" w:color="auto"/>
              <w:bottom w:val="single" w:sz="6" w:space="0" w:color="auto"/>
              <w:right w:val="single" w:sz="6" w:space="0" w:color="auto"/>
            </w:tcBorders>
          </w:tcPr>
          <w:p w:rsidR="001453B0" w:rsidRPr="00EA52E9" w:rsidRDefault="00B93D1B" w:rsidP="00B27A32">
            <w:pPr>
              <w:spacing w:before="60" w:after="60"/>
              <w:rPr>
                <w:rFonts w:ascii="Calibri" w:hAnsi="Calibri"/>
              </w:rPr>
            </w:pPr>
            <w:r>
              <w:rPr>
                <w:rFonts w:ascii="Calibri" w:hAnsi="Calibri"/>
              </w:rPr>
              <w:t>Themes</w:t>
            </w:r>
            <w:r w:rsidR="007F33BD">
              <w:rPr>
                <w:rFonts w:ascii="Calibri" w:hAnsi="Calibri"/>
              </w:rPr>
              <w:t xml:space="preserve"> </w:t>
            </w:r>
          </w:p>
        </w:tc>
        <w:tc>
          <w:tcPr>
            <w:tcW w:w="1350" w:type="dxa"/>
            <w:tcBorders>
              <w:top w:val="single" w:sz="6" w:space="0" w:color="auto"/>
              <w:left w:val="single" w:sz="6" w:space="0" w:color="auto"/>
              <w:bottom w:val="single" w:sz="6" w:space="0" w:color="auto"/>
              <w:right w:val="single" w:sz="4" w:space="0" w:color="auto"/>
            </w:tcBorders>
          </w:tcPr>
          <w:p w:rsidR="001453B0" w:rsidRPr="00EA52E9" w:rsidRDefault="00B27A32" w:rsidP="00461488">
            <w:pPr>
              <w:spacing w:before="60" w:after="60"/>
              <w:jc w:val="center"/>
              <w:rPr>
                <w:rFonts w:ascii="Calibri" w:hAnsi="Calibri"/>
              </w:rPr>
            </w:pPr>
            <w:r>
              <w:rPr>
                <w:rFonts w:ascii="Calibri" w:hAnsi="Calibri"/>
              </w:rPr>
              <w:t>Kim &amp; Alva</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EA52E9" w:rsidRDefault="00B50511" w:rsidP="00EA52E9">
            <w:pPr>
              <w:spacing w:before="60" w:after="60"/>
              <w:jc w:val="center"/>
              <w:rPr>
                <w:rFonts w:ascii="Calibri" w:hAnsi="Calibri"/>
              </w:rPr>
            </w:pPr>
            <w:r>
              <w:rPr>
                <w:rFonts w:ascii="Calibri" w:hAnsi="Calibri"/>
              </w:rPr>
              <w:t>30</w:t>
            </w:r>
            <w:r w:rsidR="007F33BD">
              <w:rPr>
                <w:rFonts w:ascii="Calibri" w:hAnsi="Calibri"/>
              </w:rPr>
              <w:t xml:space="preserve"> min</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rsidR="00B93D1B" w:rsidRPr="00F03E80" w:rsidRDefault="00B27A32" w:rsidP="00F03E80">
            <w:pPr>
              <w:pStyle w:val="ListParagraph"/>
              <w:numPr>
                <w:ilvl w:val="0"/>
                <w:numId w:val="36"/>
              </w:numPr>
              <w:spacing w:before="60" w:after="60"/>
              <w:ind w:left="432" w:hanging="270"/>
              <w:rPr>
                <w:rFonts w:ascii="Calibri" w:hAnsi="Calibri"/>
                <w:b/>
              </w:rPr>
            </w:pPr>
            <w:r w:rsidRPr="00F03E80">
              <w:rPr>
                <w:rFonts w:ascii="Calibri" w:hAnsi="Calibri"/>
                <w:b/>
              </w:rPr>
              <w:t xml:space="preserve"> </w:t>
            </w:r>
            <w:r w:rsidR="00B93D1B" w:rsidRPr="00F03E80">
              <w:rPr>
                <w:rFonts w:ascii="Calibri" w:hAnsi="Calibri"/>
                <w:b/>
              </w:rPr>
              <w:t xml:space="preserve">Different educational and learning </w:t>
            </w:r>
            <w:r w:rsidR="00F03E80" w:rsidRPr="00F03E80">
              <w:rPr>
                <w:rFonts w:ascii="Calibri" w:hAnsi="Calibri"/>
                <w:b/>
              </w:rPr>
              <w:t>preferences based on:</w:t>
            </w:r>
          </w:p>
          <w:p w:rsidR="00D72312" w:rsidRDefault="00D72312" w:rsidP="00B93D1B">
            <w:pPr>
              <w:pStyle w:val="ListParagraph"/>
              <w:spacing w:before="60" w:after="60"/>
              <w:ind w:left="432"/>
              <w:rPr>
                <w:rFonts w:ascii="Calibri" w:hAnsi="Calibri"/>
              </w:rPr>
            </w:pPr>
            <w:r>
              <w:rPr>
                <w:rFonts w:ascii="Calibri" w:hAnsi="Calibri"/>
              </w:rPr>
              <w:t>-Learning styles</w:t>
            </w:r>
            <w:r w:rsidR="00F03E80">
              <w:rPr>
                <w:rFonts w:ascii="Calibri" w:hAnsi="Calibri"/>
              </w:rPr>
              <w:t xml:space="preserve"> (Visual, auditory, </w:t>
            </w:r>
            <w:proofErr w:type="spellStart"/>
            <w:r w:rsidR="00F03E80">
              <w:rPr>
                <w:rFonts w:ascii="Calibri" w:hAnsi="Calibri"/>
              </w:rPr>
              <w:t>etc</w:t>
            </w:r>
            <w:proofErr w:type="spellEnd"/>
            <w:r w:rsidR="00F03E80">
              <w:rPr>
                <w:rFonts w:ascii="Calibri" w:hAnsi="Calibri"/>
              </w:rPr>
              <w:t>)</w:t>
            </w:r>
          </w:p>
          <w:p w:rsidR="00B93D1B" w:rsidRDefault="00B93D1B" w:rsidP="00B93D1B">
            <w:pPr>
              <w:pStyle w:val="ListParagraph"/>
              <w:spacing w:before="60" w:after="60"/>
              <w:ind w:left="432"/>
              <w:rPr>
                <w:rFonts w:ascii="Calibri" w:hAnsi="Calibri"/>
              </w:rPr>
            </w:pPr>
            <w:r>
              <w:rPr>
                <w:rFonts w:ascii="Calibri" w:hAnsi="Calibri"/>
              </w:rPr>
              <w:t>-</w:t>
            </w:r>
            <w:r w:rsidR="00F03E80">
              <w:rPr>
                <w:rFonts w:ascii="Calibri" w:hAnsi="Calibri"/>
              </w:rPr>
              <w:t xml:space="preserve">Learners </w:t>
            </w:r>
            <w:r>
              <w:rPr>
                <w:rFonts w:ascii="Calibri" w:hAnsi="Calibri"/>
              </w:rPr>
              <w:t>cultural/ethnic background</w:t>
            </w:r>
          </w:p>
          <w:p w:rsidR="00B93D1B" w:rsidRDefault="00B93D1B" w:rsidP="00B93D1B">
            <w:pPr>
              <w:pStyle w:val="ListParagraph"/>
              <w:spacing w:before="60" w:after="60"/>
              <w:ind w:left="432"/>
              <w:rPr>
                <w:rFonts w:ascii="Calibri" w:hAnsi="Calibri"/>
              </w:rPr>
            </w:pPr>
            <w:r>
              <w:rPr>
                <w:rFonts w:ascii="Calibri" w:hAnsi="Calibri"/>
              </w:rPr>
              <w:t>-</w:t>
            </w:r>
            <w:r w:rsidR="00F03E80">
              <w:rPr>
                <w:rFonts w:ascii="Calibri" w:hAnsi="Calibri"/>
              </w:rPr>
              <w:t xml:space="preserve">Learners </w:t>
            </w:r>
            <w:r>
              <w:rPr>
                <w:rFonts w:ascii="Calibri" w:hAnsi="Calibri"/>
              </w:rPr>
              <w:t>Age</w:t>
            </w:r>
          </w:p>
          <w:p w:rsidR="00B93D1B" w:rsidRDefault="00B93D1B" w:rsidP="00B93D1B">
            <w:pPr>
              <w:pStyle w:val="ListParagraph"/>
              <w:spacing w:before="60" w:after="60"/>
              <w:ind w:left="432"/>
              <w:rPr>
                <w:rFonts w:ascii="Calibri" w:hAnsi="Calibri"/>
              </w:rPr>
            </w:pPr>
            <w:r>
              <w:rPr>
                <w:rFonts w:ascii="Calibri" w:hAnsi="Calibri"/>
              </w:rPr>
              <w:t>-Role (patient/caregiver)</w:t>
            </w:r>
          </w:p>
          <w:p w:rsidR="00DC32B1" w:rsidRPr="00F03E80" w:rsidRDefault="00DC32B1" w:rsidP="00B93D1B">
            <w:pPr>
              <w:pStyle w:val="ListParagraph"/>
              <w:spacing w:before="60" w:after="60"/>
              <w:ind w:left="432"/>
              <w:rPr>
                <w:rFonts w:ascii="Calibri" w:hAnsi="Calibri"/>
              </w:rPr>
            </w:pPr>
            <w:r w:rsidRPr="00F03E80">
              <w:rPr>
                <w:rFonts w:ascii="Calibri" w:hAnsi="Calibri"/>
              </w:rPr>
              <w:t>-Whether or not the patients want to hear everything (negative information)</w:t>
            </w:r>
          </w:p>
          <w:p w:rsidR="00B93D1B" w:rsidRPr="00F03E80" w:rsidRDefault="00B93D1B" w:rsidP="00B93D1B">
            <w:pPr>
              <w:pStyle w:val="ListParagraph"/>
              <w:numPr>
                <w:ilvl w:val="0"/>
                <w:numId w:val="36"/>
              </w:numPr>
              <w:spacing w:before="60" w:after="60"/>
              <w:ind w:left="432" w:hanging="270"/>
              <w:rPr>
                <w:rFonts w:ascii="Calibri" w:hAnsi="Calibri"/>
                <w:b/>
              </w:rPr>
            </w:pPr>
            <w:r w:rsidRPr="00F03E80">
              <w:rPr>
                <w:rFonts w:ascii="Calibri" w:hAnsi="Calibri"/>
                <w:b/>
              </w:rPr>
              <w:t>Different formats of education</w:t>
            </w:r>
            <w:r w:rsidR="00007D67" w:rsidRPr="00F03E80">
              <w:rPr>
                <w:rFonts w:ascii="Calibri" w:hAnsi="Calibri"/>
                <w:b/>
              </w:rPr>
              <w:t>al materials</w:t>
            </w:r>
          </w:p>
          <w:p w:rsidR="003B7C0F" w:rsidRDefault="003B7C0F" w:rsidP="003B7C0F">
            <w:pPr>
              <w:pStyle w:val="ListParagraph"/>
              <w:spacing w:before="60" w:after="60"/>
              <w:ind w:left="432"/>
              <w:rPr>
                <w:rFonts w:ascii="Calibri" w:hAnsi="Calibri"/>
              </w:rPr>
            </w:pPr>
            <w:r>
              <w:rPr>
                <w:rFonts w:ascii="Calibri" w:hAnsi="Calibri"/>
              </w:rPr>
              <w:t>-Electronic</w:t>
            </w:r>
          </w:p>
          <w:p w:rsidR="003B7C0F" w:rsidRDefault="003B7C0F" w:rsidP="003B7C0F">
            <w:pPr>
              <w:pStyle w:val="ListParagraph"/>
              <w:spacing w:before="60" w:after="60"/>
              <w:ind w:left="432"/>
              <w:rPr>
                <w:rFonts w:ascii="Calibri" w:hAnsi="Calibri"/>
              </w:rPr>
            </w:pPr>
            <w:r>
              <w:rPr>
                <w:rFonts w:ascii="Calibri" w:hAnsi="Calibri"/>
              </w:rPr>
              <w:t>-Print</w:t>
            </w:r>
          </w:p>
          <w:p w:rsidR="003B7C0F" w:rsidRDefault="003B7C0F" w:rsidP="003B7C0F">
            <w:pPr>
              <w:pStyle w:val="ListParagraph"/>
              <w:spacing w:before="60" w:after="60"/>
              <w:ind w:left="432"/>
              <w:rPr>
                <w:rFonts w:ascii="Calibri" w:hAnsi="Calibri"/>
              </w:rPr>
            </w:pPr>
            <w:r>
              <w:rPr>
                <w:rFonts w:ascii="Calibri" w:hAnsi="Calibri"/>
              </w:rPr>
              <w:t>-E-tools</w:t>
            </w:r>
          </w:p>
          <w:p w:rsidR="003B7C0F" w:rsidRDefault="003B7C0F" w:rsidP="003B7C0F">
            <w:pPr>
              <w:pStyle w:val="ListParagraph"/>
              <w:spacing w:before="60" w:after="60"/>
              <w:ind w:left="432"/>
              <w:rPr>
                <w:rFonts w:ascii="Calibri" w:hAnsi="Calibri"/>
              </w:rPr>
            </w:pPr>
            <w:r>
              <w:rPr>
                <w:rFonts w:ascii="Calibri" w:hAnsi="Calibri"/>
              </w:rPr>
              <w:t>-Videos</w:t>
            </w:r>
          </w:p>
          <w:p w:rsidR="00F03E80" w:rsidRDefault="00F03E80" w:rsidP="003B7C0F">
            <w:pPr>
              <w:pStyle w:val="ListParagraph"/>
              <w:spacing w:before="60" w:after="60"/>
              <w:ind w:left="432"/>
              <w:rPr>
                <w:rFonts w:ascii="Calibri" w:hAnsi="Calibri"/>
              </w:rPr>
            </w:pPr>
            <w:r>
              <w:rPr>
                <w:rFonts w:ascii="Calibri" w:hAnsi="Calibri"/>
              </w:rPr>
              <w:t>-Web</w:t>
            </w:r>
          </w:p>
          <w:p w:rsidR="003B7C0F" w:rsidRDefault="003B7C0F" w:rsidP="003B7C0F">
            <w:pPr>
              <w:pStyle w:val="ListParagraph"/>
              <w:spacing w:before="60" w:after="60"/>
              <w:ind w:left="432"/>
              <w:rPr>
                <w:rFonts w:ascii="Calibri" w:hAnsi="Calibri"/>
              </w:rPr>
            </w:pPr>
            <w:r>
              <w:rPr>
                <w:rFonts w:ascii="Calibri" w:hAnsi="Calibri"/>
              </w:rPr>
              <w:t>-Additional materials available</w:t>
            </w:r>
          </w:p>
          <w:p w:rsidR="003B7C0F" w:rsidRDefault="003B7C0F" w:rsidP="003B7C0F">
            <w:pPr>
              <w:pStyle w:val="ListParagraph"/>
              <w:spacing w:before="60" w:after="60"/>
              <w:ind w:left="432"/>
              <w:rPr>
                <w:rFonts w:ascii="Calibri" w:hAnsi="Calibri"/>
              </w:rPr>
            </w:pPr>
            <w:r>
              <w:rPr>
                <w:rFonts w:ascii="Calibri" w:hAnsi="Calibri"/>
              </w:rPr>
              <w:t>-Repetitiveness of information</w:t>
            </w:r>
          </w:p>
          <w:p w:rsidR="003B7C0F" w:rsidRDefault="003B7C0F" w:rsidP="003B7C0F">
            <w:pPr>
              <w:pStyle w:val="ListParagraph"/>
              <w:spacing w:before="60" w:after="60"/>
              <w:ind w:left="432"/>
              <w:rPr>
                <w:rFonts w:ascii="Calibri" w:hAnsi="Calibri"/>
              </w:rPr>
            </w:pPr>
            <w:r>
              <w:rPr>
                <w:rFonts w:ascii="Calibri" w:hAnsi="Calibri"/>
              </w:rPr>
              <w:t>-Retention</w:t>
            </w:r>
          </w:p>
          <w:p w:rsidR="00DB697C" w:rsidRDefault="00DB697C" w:rsidP="00DB697C">
            <w:pPr>
              <w:pStyle w:val="ListParagraph"/>
              <w:spacing w:before="60" w:after="60"/>
              <w:ind w:left="432"/>
              <w:rPr>
                <w:rFonts w:ascii="Calibri" w:hAnsi="Calibri"/>
              </w:rPr>
            </w:pPr>
            <w:r>
              <w:rPr>
                <w:rFonts w:ascii="Calibri" w:hAnsi="Calibri"/>
              </w:rPr>
              <w:t>-Individually tailored education</w:t>
            </w:r>
            <w:r>
              <w:rPr>
                <w:rFonts w:ascii="Calibri" w:hAnsi="Calibri"/>
              </w:rPr>
              <w:t xml:space="preserve"> (Name on materials?)</w:t>
            </w:r>
          </w:p>
          <w:p w:rsidR="00F03E80" w:rsidRPr="00DB697C" w:rsidRDefault="00F03E80" w:rsidP="00DB697C">
            <w:pPr>
              <w:pStyle w:val="ListParagraph"/>
              <w:spacing w:before="60" w:after="60"/>
              <w:ind w:left="432"/>
              <w:rPr>
                <w:rFonts w:ascii="Calibri" w:hAnsi="Calibri"/>
              </w:rPr>
            </w:pPr>
            <w:r>
              <w:rPr>
                <w:rFonts w:ascii="Calibri" w:hAnsi="Calibri"/>
              </w:rPr>
              <w:t xml:space="preserve">-Methods for delivery (Timing, quantity, </w:t>
            </w:r>
            <w:proofErr w:type="spellStart"/>
            <w:r>
              <w:rPr>
                <w:rFonts w:ascii="Calibri" w:hAnsi="Calibri"/>
              </w:rPr>
              <w:t>etc</w:t>
            </w:r>
            <w:proofErr w:type="spellEnd"/>
            <w:r>
              <w:rPr>
                <w:rFonts w:ascii="Calibri" w:hAnsi="Calibri"/>
              </w:rPr>
              <w:t>)</w:t>
            </w:r>
          </w:p>
          <w:p w:rsidR="00B93D1B" w:rsidRPr="00F03E80" w:rsidRDefault="00B93D1B" w:rsidP="00B93D1B">
            <w:pPr>
              <w:pStyle w:val="ListParagraph"/>
              <w:numPr>
                <w:ilvl w:val="0"/>
                <w:numId w:val="36"/>
              </w:numPr>
              <w:spacing w:before="60" w:after="60"/>
              <w:ind w:left="432" w:hanging="270"/>
              <w:rPr>
                <w:rFonts w:ascii="Calibri" w:hAnsi="Calibri"/>
                <w:b/>
              </w:rPr>
            </w:pPr>
            <w:r w:rsidRPr="00F03E80">
              <w:rPr>
                <w:rFonts w:ascii="Calibri" w:hAnsi="Calibri"/>
                <w:b/>
              </w:rPr>
              <w:t xml:space="preserve">Assessing the patient/caregiver </w:t>
            </w:r>
            <w:r w:rsidR="00D72312" w:rsidRPr="00F03E80">
              <w:rPr>
                <w:rFonts w:ascii="Calibri" w:hAnsi="Calibri"/>
                <w:b/>
              </w:rPr>
              <w:t>to tailor education</w:t>
            </w:r>
          </w:p>
          <w:p w:rsidR="00F03E80" w:rsidRDefault="00F03E80" w:rsidP="00F03E80">
            <w:pPr>
              <w:pStyle w:val="ListParagraph"/>
              <w:spacing w:before="60" w:after="60"/>
              <w:ind w:left="432"/>
              <w:rPr>
                <w:rFonts w:ascii="Calibri" w:hAnsi="Calibri"/>
              </w:rPr>
            </w:pPr>
            <w:r>
              <w:rPr>
                <w:rFonts w:ascii="Calibri" w:hAnsi="Calibri"/>
              </w:rPr>
              <w:t>-Patient knowledge</w:t>
            </w:r>
          </w:p>
          <w:p w:rsidR="00F03E80" w:rsidRDefault="00F03E80" w:rsidP="00F03E80">
            <w:pPr>
              <w:pStyle w:val="ListParagraph"/>
              <w:spacing w:before="60" w:after="60"/>
              <w:ind w:left="432"/>
              <w:rPr>
                <w:rFonts w:ascii="Calibri" w:hAnsi="Calibri"/>
              </w:rPr>
            </w:pPr>
            <w:r>
              <w:rPr>
                <w:rFonts w:ascii="Calibri" w:hAnsi="Calibri"/>
              </w:rPr>
              <w:t>-Learning style, preferred formats</w:t>
            </w:r>
          </w:p>
          <w:p w:rsidR="00F03E80" w:rsidRDefault="00F03E80" w:rsidP="00F03E80">
            <w:pPr>
              <w:pStyle w:val="ListParagraph"/>
              <w:spacing w:before="60" w:after="60"/>
              <w:ind w:left="432"/>
              <w:rPr>
                <w:rFonts w:ascii="Calibri" w:hAnsi="Calibri"/>
              </w:rPr>
            </w:pPr>
            <w:r>
              <w:rPr>
                <w:rFonts w:ascii="Calibri" w:hAnsi="Calibri"/>
              </w:rPr>
              <w:t>-Perceived risk</w:t>
            </w:r>
          </w:p>
          <w:p w:rsidR="00B93D1B" w:rsidRDefault="00B93D1B" w:rsidP="00B93D1B">
            <w:pPr>
              <w:pStyle w:val="ListParagraph"/>
              <w:spacing w:before="60" w:after="60"/>
              <w:ind w:left="432"/>
              <w:rPr>
                <w:rFonts w:ascii="Calibri" w:hAnsi="Calibri"/>
              </w:rPr>
            </w:pPr>
            <w:r>
              <w:rPr>
                <w:rFonts w:ascii="Calibri" w:hAnsi="Calibri"/>
              </w:rPr>
              <w:t>-Health literacy</w:t>
            </w:r>
          </w:p>
          <w:p w:rsidR="00F03E80" w:rsidRDefault="00F03E80" w:rsidP="00B93D1B">
            <w:pPr>
              <w:pStyle w:val="ListParagraph"/>
              <w:spacing w:before="60" w:after="60"/>
              <w:ind w:left="432"/>
              <w:rPr>
                <w:rFonts w:ascii="Calibri" w:hAnsi="Calibri"/>
              </w:rPr>
            </w:pPr>
            <w:r>
              <w:rPr>
                <w:rFonts w:ascii="Calibri" w:hAnsi="Calibri"/>
              </w:rPr>
              <w:t>-Self-efficacy</w:t>
            </w:r>
          </w:p>
          <w:p w:rsidR="00007D67" w:rsidRDefault="00007D67" w:rsidP="00B93D1B">
            <w:pPr>
              <w:pStyle w:val="ListParagraph"/>
              <w:spacing w:before="60" w:after="60"/>
              <w:ind w:left="432"/>
              <w:rPr>
                <w:rFonts w:ascii="Calibri" w:hAnsi="Calibri"/>
              </w:rPr>
            </w:pPr>
            <w:r>
              <w:rPr>
                <w:rFonts w:ascii="Calibri" w:hAnsi="Calibri"/>
              </w:rPr>
              <w:t>-Coping styles</w:t>
            </w:r>
          </w:p>
          <w:p w:rsidR="00007D67" w:rsidRDefault="00007D67" w:rsidP="00B93D1B">
            <w:pPr>
              <w:pStyle w:val="ListParagraph"/>
              <w:spacing w:before="60" w:after="60"/>
              <w:ind w:left="432"/>
              <w:rPr>
                <w:rFonts w:ascii="Calibri" w:hAnsi="Calibri"/>
              </w:rPr>
            </w:pPr>
            <w:r>
              <w:rPr>
                <w:rFonts w:ascii="Calibri" w:hAnsi="Calibri"/>
              </w:rPr>
              <w:t>-Readiness and ability to learn</w:t>
            </w:r>
          </w:p>
          <w:p w:rsidR="00007D67" w:rsidRPr="00F03E80" w:rsidRDefault="00007D67" w:rsidP="00007D67">
            <w:pPr>
              <w:pStyle w:val="ListParagraph"/>
              <w:numPr>
                <w:ilvl w:val="0"/>
                <w:numId w:val="36"/>
              </w:numPr>
              <w:spacing w:before="60" w:after="60"/>
              <w:ind w:left="432" w:hanging="270"/>
              <w:rPr>
                <w:rFonts w:ascii="Calibri" w:hAnsi="Calibri"/>
                <w:b/>
              </w:rPr>
            </w:pPr>
            <w:r w:rsidRPr="00F03E80">
              <w:rPr>
                <w:rFonts w:ascii="Calibri" w:hAnsi="Calibri"/>
                <w:b/>
              </w:rPr>
              <w:lastRenderedPageBreak/>
              <w:t>Communicating and documenting education</w:t>
            </w:r>
          </w:p>
          <w:p w:rsidR="00007D67" w:rsidRPr="00F03E80" w:rsidRDefault="00007D67" w:rsidP="00007D67">
            <w:pPr>
              <w:pStyle w:val="ListParagraph"/>
              <w:numPr>
                <w:ilvl w:val="0"/>
                <w:numId w:val="36"/>
              </w:numPr>
              <w:spacing w:before="60" w:after="60"/>
              <w:ind w:left="432" w:hanging="270"/>
              <w:rPr>
                <w:rFonts w:ascii="Calibri" w:hAnsi="Calibri"/>
                <w:b/>
              </w:rPr>
            </w:pPr>
            <w:r w:rsidRPr="00F03E80">
              <w:rPr>
                <w:rFonts w:ascii="Calibri" w:hAnsi="Calibri"/>
                <w:b/>
              </w:rPr>
              <w:t>Who is providing the education</w:t>
            </w:r>
          </w:p>
          <w:p w:rsidR="00007D67" w:rsidRDefault="00007D67" w:rsidP="00007D67">
            <w:pPr>
              <w:pStyle w:val="ListParagraph"/>
              <w:spacing w:before="60" w:after="60"/>
              <w:ind w:left="432"/>
              <w:rPr>
                <w:rFonts w:ascii="Calibri" w:hAnsi="Calibri"/>
              </w:rPr>
            </w:pPr>
            <w:r>
              <w:rPr>
                <w:rFonts w:ascii="Calibri" w:hAnsi="Calibri"/>
              </w:rPr>
              <w:t>-Doctor</w:t>
            </w:r>
          </w:p>
          <w:p w:rsidR="00007D67" w:rsidRDefault="00007D67" w:rsidP="00007D67">
            <w:pPr>
              <w:pStyle w:val="ListParagraph"/>
              <w:spacing w:before="60" w:after="60"/>
              <w:ind w:left="432"/>
              <w:rPr>
                <w:rFonts w:ascii="Calibri" w:hAnsi="Calibri"/>
              </w:rPr>
            </w:pPr>
            <w:r>
              <w:rPr>
                <w:rFonts w:ascii="Calibri" w:hAnsi="Calibri"/>
              </w:rPr>
              <w:t>-Patient</w:t>
            </w:r>
          </w:p>
          <w:p w:rsidR="00007D67" w:rsidRDefault="00007D67" w:rsidP="00007D67">
            <w:pPr>
              <w:pStyle w:val="ListParagraph"/>
              <w:spacing w:before="60" w:after="60"/>
              <w:ind w:left="432"/>
              <w:rPr>
                <w:rFonts w:ascii="Calibri" w:hAnsi="Calibri"/>
              </w:rPr>
            </w:pPr>
            <w:r>
              <w:rPr>
                <w:rFonts w:ascii="Calibri" w:hAnsi="Calibri"/>
              </w:rPr>
              <w:t>-Caregiver</w:t>
            </w:r>
          </w:p>
          <w:p w:rsidR="00007D67" w:rsidRPr="00F03E80" w:rsidRDefault="00F03E80" w:rsidP="00007D67">
            <w:pPr>
              <w:pStyle w:val="ListParagraph"/>
              <w:numPr>
                <w:ilvl w:val="0"/>
                <w:numId w:val="35"/>
              </w:numPr>
              <w:spacing w:before="60" w:after="60"/>
              <w:ind w:left="432" w:hanging="270"/>
              <w:rPr>
                <w:rFonts w:ascii="Calibri" w:hAnsi="Calibri"/>
                <w:b/>
              </w:rPr>
            </w:pPr>
            <w:r w:rsidRPr="00F03E80">
              <w:rPr>
                <w:rFonts w:ascii="Calibri" w:hAnsi="Calibri"/>
                <w:b/>
              </w:rPr>
              <w:t>Need improved study design to improve generalizability of results</w:t>
            </w:r>
          </w:p>
          <w:p w:rsidR="00F03E80" w:rsidRDefault="00F03E80" w:rsidP="00F03E80">
            <w:pPr>
              <w:pStyle w:val="ListParagraph"/>
              <w:spacing w:before="60" w:after="60"/>
              <w:ind w:left="432"/>
              <w:rPr>
                <w:rFonts w:ascii="Calibri" w:hAnsi="Calibri"/>
              </w:rPr>
            </w:pPr>
            <w:r>
              <w:rPr>
                <w:rFonts w:ascii="Calibri" w:hAnsi="Calibri"/>
              </w:rPr>
              <w:t>-Studies that follow participants for a longer time</w:t>
            </w:r>
          </w:p>
          <w:p w:rsidR="00F03E80" w:rsidRDefault="00F03E80" w:rsidP="00F03E80">
            <w:pPr>
              <w:pStyle w:val="ListParagraph"/>
              <w:spacing w:before="60" w:after="60"/>
              <w:ind w:left="432"/>
              <w:rPr>
                <w:rFonts w:ascii="Calibri" w:hAnsi="Calibri"/>
              </w:rPr>
            </w:pPr>
            <w:r>
              <w:rPr>
                <w:rFonts w:ascii="Calibri" w:hAnsi="Calibri"/>
              </w:rPr>
              <w:t>-More studies with multi-center design, fewer single site pilot studies</w:t>
            </w:r>
          </w:p>
          <w:p w:rsidR="00F03E80" w:rsidRPr="00007D67" w:rsidRDefault="00F03E80" w:rsidP="00F03E80">
            <w:pPr>
              <w:pStyle w:val="ListParagraph"/>
              <w:spacing w:before="60" w:after="60"/>
              <w:ind w:left="432"/>
              <w:rPr>
                <w:rFonts w:ascii="Calibri" w:hAnsi="Calibri"/>
              </w:rPr>
            </w:pPr>
            <w:r>
              <w:rPr>
                <w:rFonts w:ascii="Calibri" w:hAnsi="Calibri"/>
              </w:rPr>
              <w:t>-More diversity of participants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34" w:rsidRPr="00E74634" w:rsidRDefault="00E74634" w:rsidP="00B50511">
            <w:pPr>
              <w:pStyle w:val="ListParagraph"/>
              <w:spacing w:before="60" w:after="60"/>
              <w:ind w:left="162"/>
              <w:rPr>
                <w:rFonts w:ascii="Calibri" w:hAnsi="Calibri"/>
              </w:rPr>
            </w:pPr>
          </w:p>
        </w:tc>
      </w:tr>
      <w:tr w:rsidR="00EA52E9" w:rsidRPr="009F5BF6" w:rsidTr="00B50511">
        <w:tc>
          <w:tcPr>
            <w:tcW w:w="1774" w:type="dxa"/>
            <w:tcBorders>
              <w:top w:val="single" w:sz="6" w:space="0" w:color="auto"/>
              <w:left w:val="single" w:sz="6" w:space="0" w:color="auto"/>
              <w:bottom w:val="single" w:sz="6" w:space="0" w:color="auto"/>
              <w:right w:val="single" w:sz="6" w:space="0" w:color="auto"/>
            </w:tcBorders>
          </w:tcPr>
          <w:p w:rsidR="00EA52E9" w:rsidRPr="00EA52E9" w:rsidRDefault="00B93D1B" w:rsidP="00461488">
            <w:pPr>
              <w:spacing w:before="60" w:after="60"/>
              <w:rPr>
                <w:rFonts w:ascii="Calibri" w:hAnsi="Calibri"/>
              </w:rPr>
            </w:pPr>
            <w:r>
              <w:rPr>
                <w:rFonts w:ascii="Calibri" w:hAnsi="Calibri"/>
              </w:rPr>
              <w:t>Research questions</w:t>
            </w:r>
          </w:p>
        </w:tc>
        <w:tc>
          <w:tcPr>
            <w:tcW w:w="1350" w:type="dxa"/>
            <w:tcBorders>
              <w:top w:val="single" w:sz="6" w:space="0" w:color="auto"/>
              <w:left w:val="single" w:sz="6" w:space="0" w:color="auto"/>
              <w:bottom w:val="single" w:sz="6" w:space="0" w:color="auto"/>
              <w:right w:val="single" w:sz="4" w:space="0" w:color="auto"/>
            </w:tcBorders>
          </w:tcPr>
          <w:p w:rsidR="00EA52E9" w:rsidRPr="00EA52E9" w:rsidRDefault="00EA52E9" w:rsidP="00461488">
            <w:pPr>
              <w:spacing w:before="60" w:after="60"/>
              <w:jc w:val="center"/>
              <w:rPr>
                <w:rFonts w:ascii="Calibri" w:hAnsi="Calibri"/>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EA52E9" w:rsidRDefault="00B50511" w:rsidP="00461488">
            <w:pPr>
              <w:spacing w:before="60" w:after="60"/>
              <w:jc w:val="center"/>
              <w:rPr>
                <w:rFonts w:ascii="Calibri" w:hAnsi="Calibri"/>
              </w:rPr>
            </w:pPr>
            <w:r>
              <w:rPr>
                <w:rFonts w:ascii="Calibri" w:hAnsi="Calibri"/>
              </w:rPr>
              <w:t>5 min</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rsidR="00F03E80" w:rsidRPr="00F03E80" w:rsidRDefault="00F03E80" w:rsidP="00F03E80">
            <w:pPr>
              <w:pStyle w:val="ListParagraph"/>
              <w:numPr>
                <w:ilvl w:val="0"/>
                <w:numId w:val="41"/>
              </w:numPr>
              <w:spacing w:after="160" w:line="259" w:lineRule="auto"/>
              <w:rPr>
                <w:rFonts w:asciiTheme="minorHAnsi" w:hAnsiTheme="minorHAnsi"/>
                <w:b/>
              </w:rPr>
            </w:pPr>
            <w:r w:rsidRPr="00F03E80">
              <w:rPr>
                <w:rFonts w:asciiTheme="minorHAnsi" w:hAnsiTheme="minorHAnsi"/>
                <w:b/>
              </w:rPr>
              <w:t>Compare</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b/>
              </w:rPr>
              <w:t xml:space="preserve">Conventional vs </w:t>
            </w:r>
            <w:proofErr w:type="gramStart"/>
            <w:r w:rsidRPr="00F03E80">
              <w:rPr>
                <w:rFonts w:asciiTheme="minorHAnsi" w:hAnsiTheme="minorHAnsi"/>
                <w:b/>
              </w:rPr>
              <w:t>New</w:t>
            </w:r>
            <w:proofErr w:type="gramEnd"/>
            <w:r w:rsidRPr="00F03E80">
              <w:rPr>
                <w:rFonts w:asciiTheme="minorHAnsi" w:hAnsiTheme="minorHAnsi"/>
              </w:rPr>
              <w:t>. Print educational materials versus e-tools. How effective are different strategies? Technology and mobile health as a modality for patient education? Create new tools or use tools that already exist? Do outdated tools affect how people absorb information?</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b/>
              </w:rPr>
              <w:t>Education formats</w:t>
            </w:r>
            <w:r w:rsidRPr="00F03E80">
              <w:rPr>
                <w:rFonts w:asciiTheme="minorHAnsi" w:hAnsiTheme="minorHAnsi"/>
              </w:rPr>
              <w:t xml:space="preserve">. Print, in-person, video, vs web etc. How does the design of materials influence health literacy? Technology and mobile health as a modality for patient education? Does tailoring to patient preference enhance learning, satisfaction or QOL? Does individually tailored education enhance learning? Does personalized education (for example, putting patient’s name on the materials) help patients absorb information? </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b/>
              </w:rPr>
              <w:t>Education delivery</w:t>
            </w:r>
            <w:r w:rsidRPr="00F03E80">
              <w:rPr>
                <w:rFonts w:asciiTheme="minorHAnsi" w:hAnsiTheme="minorHAnsi"/>
              </w:rPr>
              <w:t xml:space="preserve">. Timing, repetition, pacing, quantity of info, level of detail, individual vs groups etc. How many sessions to deliver education and at what point in treatment process? How many sessions to deliver education and at what point in treatment process? How much is too much? Use of a roadmap? Does variability/lack of standardization contribute to lack of knowledge? What methodology for patient education that we can compare will allow best retention of information? Retention – TCs are giving information, but they don’t remember – the delivery of information – What delivery results in best retention of information </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b/>
              </w:rPr>
              <w:lastRenderedPageBreak/>
              <w:t>Education by whom</w:t>
            </w:r>
            <w:r w:rsidRPr="00F03E80">
              <w:rPr>
                <w:rFonts w:asciiTheme="minorHAnsi" w:hAnsiTheme="minorHAnsi"/>
              </w:rPr>
              <w:t>. Does training on cultural competency impact patient education, learning and care? Can educating family member help education the patient? Does patient-to-patient education (peer education) impact how well the education is received?</w:t>
            </w:r>
          </w:p>
          <w:p w:rsidR="00F03E80" w:rsidRPr="00F03E80" w:rsidRDefault="00F03E80" w:rsidP="00F03E80">
            <w:pPr>
              <w:pStyle w:val="ListParagraph"/>
              <w:numPr>
                <w:ilvl w:val="0"/>
                <w:numId w:val="41"/>
              </w:numPr>
              <w:spacing w:after="160" w:line="259" w:lineRule="auto"/>
              <w:rPr>
                <w:rFonts w:asciiTheme="minorHAnsi" w:hAnsiTheme="minorHAnsi"/>
                <w:b/>
              </w:rPr>
            </w:pPr>
            <w:r w:rsidRPr="00F03E80">
              <w:rPr>
                <w:rFonts w:asciiTheme="minorHAnsi" w:hAnsiTheme="minorHAnsi"/>
                <w:b/>
              </w:rPr>
              <w:t xml:space="preserve">Develop, study different assessments </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rPr>
              <w:t>Develop pre-BMT needs assessment tool for individualized care for patients</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rPr>
              <w:t xml:space="preserve">Assessments of learner’s attitude, coping mechanism, readiness to learn, </w:t>
            </w:r>
            <w:proofErr w:type="spellStart"/>
            <w:r w:rsidRPr="00F03E80">
              <w:rPr>
                <w:rFonts w:asciiTheme="minorHAnsi" w:hAnsiTheme="minorHAnsi"/>
              </w:rPr>
              <w:t>etc</w:t>
            </w:r>
            <w:proofErr w:type="spellEnd"/>
            <w:r w:rsidRPr="00F03E80">
              <w:rPr>
                <w:rFonts w:asciiTheme="minorHAnsi" w:hAnsiTheme="minorHAnsi"/>
              </w:rPr>
              <w:t xml:space="preserve"> </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rPr>
              <w:t>Understand how stress affects how affects retention</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rPr>
              <w:t>Assess learner fatigue, stress and how we use results to tailor education format, timing and delivery</w:t>
            </w:r>
          </w:p>
          <w:p w:rsidR="00F03E80" w:rsidRPr="00F03E80" w:rsidRDefault="00F03E80" w:rsidP="00F03E80">
            <w:pPr>
              <w:pStyle w:val="ListParagraph"/>
              <w:numPr>
                <w:ilvl w:val="0"/>
                <w:numId w:val="41"/>
              </w:numPr>
              <w:spacing w:after="160" w:line="259" w:lineRule="auto"/>
              <w:rPr>
                <w:rFonts w:asciiTheme="minorHAnsi" w:hAnsiTheme="minorHAnsi"/>
                <w:b/>
              </w:rPr>
            </w:pPr>
            <w:r w:rsidRPr="00F03E80">
              <w:rPr>
                <w:rFonts w:asciiTheme="minorHAnsi" w:hAnsiTheme="minorHAnsi"/>
                <w:b/>
              </w:rPr>
              <w:t>Training</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rPr>
              <w:t>What are best methods to train staff on patient education assessment and delivery?</w:t>
            </w:r>
          </w:p>
          <w:p w:rsidR="00F03E80" w:rsidRPr="00F03E80" w:rsidRDefault="00F03E80" w:rsidP="00F03E80">
            <w:pPr>
              <w:pStyle w:val="ListParagraph"/>
              <w:numPr>
                <w:ilvl w:val="0"/>
                <w:numId w:val="41"/>
              </w:numPr>
              <w:spacing w:after="160" w:line="259" w:lineRule="auto"/>
              <w:rPr>
                <w:rFonts w:asciiTheme="minorHAnsi" w:hAnsiTheme="minorHAnsi"/>
                <w:b/>
              </w:rPr>
            </w:pPr>
            <w:r w:rsidRPr="00F03E80">
              <w:rPr>
                <w:rFonts w:asciiTheme="minorHAnsi" w:hAnsiTheme="minorHAnsi"/>
                <w:b/>
              </w:rPr>
              <w:t>Secondary research questions.</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rPr>
              <w:t>Impact of education on QOL? Can lack of information aggravate distress for patients?</w:t>
            </w:r>
          </w:p>
          <w:p w:rsidR="00F03E80" w:rsidRPr="00F03E80" w:rsidRDefault="00F03E80" w:rsidP="00F03E80">
            <w:pPr>
              <w:pStyle w:val="ListParagraph"/>
              <w:numPr>
                <w:ilvl w:val="1"/>
                <w:numId w:val="41"/>
              </w:numPr>
              <w:spacing w:after="160" w:line="259" w:lineRule="auto"/>
              <w:rPr>
                <w:rFonts w:asciiTheme="minorHAnsi" w:hAnsiTheme="minorHAnsi"/>
              </w:rPr>
            </w:pPr>
            <w:r w:rsidRPr="00F03E80">
              <w:rPr>
                <w:rFonts w:asciiTheme="minorHAnsi" w:hAnsiTheme="minorHAnsi"/>
              </w:rPr>
              <w:t xml:space="preserve">Does higher quality education improve access to transplant? </w:t>
            </w:r>
          </w:p>
          <w:p w:rsidR="00D72312" w:rsidRPr="00F03E80" w:rsidRDefault="00D72312" w:rsidP="00F03E80">
            <w:pPr>
              <w:spacing w:before="60" w:after="60"/>
              <w:rPr>
                <w:rFonts w:ascii="Calibri" w:hAnsi="Calibri"/>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577BC9" w:rsidRDefault="00EA52E9" w:rsidP="00B50511">
            <w:pPr>
              <w:spacing w:before="60" w:after="60"/>
              <w:ind w:left="342" w:hanging="180"/>
              <w:rPr>
                <w:rFonts w:ascii="Calibri" w:hAnsi="Calibri"/>
              </w:rPr>
            </w:pPr>
          </w:p>
        </w:tc>
      </w:tr>
      <w:tr w:rsidR="00EA52E9" w:rsidRPr="009F5BF6" w:rsidTr="00B50511">
        <w:trPr>
          <w:trHeight w:val="795"/>
        </w:trPr>
        <w:tc>
          <w:tcPr>
            <w:tcW w:w="1774" w:type="dxa"/>
            <w:tcBorders>
              <w:top w:val="single" w:sz="6" w:space="0" w:color="auto"/>
              <w:left w:val="single" w:sz="6" w:space="0" w:color="auto"/>
              <w:bottom w:val="single" w:sz="6" w:space="0" w:color="auto"/>
              <w:right w:val="single" w:sz="6" w:space="0" w:color="auto"/>
            </w:tcBorders>
          </w:tcPr>
          <w:p w:rsidR="00EA52E9" w:rsidRPr="00EA52E9" w:rsidRDefault="00B50511" w:rsidP="00B50511">
            <w:pPr>
              <w:spacing w:before="60" w:after="60"/>
              <w:rPr>
                <w:rFonts w:ascii="Calibri" w:hAnsi="Calibri"/>
              </w:rPr>
            </w:pPr>
            <w:r>
              <w:rPr>
                <w:rFonts w:ascii="Calibri" w:hAnsi="Calibri"/>
              </w:rPr>
              <w:t xml:space="preserve">Summary of tasks; </w:t>
            </w:r>
            <w:r w:rsidR="00EA52E9" w:rsidRPr="00EA52E9">
              <w:rPr>
                <w:rFonts w:ascii="Calibri" w:hAnsi="Calibri"/>
              </w:rPr>
              <w:t>next steps</w:t>
            </w:r>
          </w:p>
        </w:tc>
        <w:tc>
          <w:tcPr>
            <w:tcW w:w="1350" w:type="dxa"/>
            <w:tcBorders>
              <w:top w:val="single" w:sz="6" w:space="0" w:color="auto"/>
              <w:left w:val="single" w:sz="6" w:space="0" w:color="auto"/>
              <w:bottom w:val="single" w:sz="6" w:space="0" w:color="auto"/>
              <w:right w:val="single" w:sz="4" w:space="0" w:color="auto"/>
            </w:tcBorders>
          </w:tcPr>
          <w:p w:rsidR="00EA52E9" w:rsidRPr="00EA52E9" w:rsidRDefault="007F33BD" w:rsidP="00B50511">
            <w:pPr>
              <w:spacing w:before="60" w:after="60"/>
              <w:jc w:val="center"/>
              <w:rPr>
                <w:rFonts w:ascii="Calibri" w:hAnsi="Calibri"/>
              </w:rPr>
            </w:pPr>
            <w:r>
              <w:rPr>
                <w:rFonts w:ascii="Calibri" w:hAnsi="Calibri"/>
              </w:rPr>
              <w:t xml:space="preserve">Jackie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EA52E9" w:rsidRDefault="00EA52E9" w:rsidP="00461488">
            <w:pPr>
              <w:spacing w:before="60" w:after="60"/>
              <w:jc w:val="center"/>
              <w:rPr>
                <w:rFonts w:ascii="Calibri" w:hAnsi="Calibri"/>
              </w:rPr>
            </w:pPr>
            <w:r w:rsidRPr="00EA52E9">
              <w:rPr>
                <w:rFonts w:ascii="Calibri" w:hAnsi="Calibri"/>
              </w:rPr>
              <w:t>5 min</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rsidR="00B50511" w:rsidRDefault="00D72312" w:rsidP="00B50511">
            <w:pPr>
              <w:pStyle w:val="ListParagraph"/>
              <w:numPr>
                <w:ilvl w:val="0"/>
                <w:numId w:val="35"/>
              </w:numPr>
              <w:tabs>
                <w:tab w:val="left" w:pos="4871"/>
              </w:tabs>
              <w:spacing w:before="60" w:after="60"/>
              <w:ind w:left="432" w:hanging="270"/>
              <w:rPr>
                <w:rFonts w:ascii="Calibri" w:hAnsi="Calibri"/>
              </w:rPr>
            </w:pPr>
            <w:r>
              <w:rPr>
                <w:rFonts w:ascii="Calibri" w:hAnsi="Calibri"/>
              </w:rPr>
              <w:t>Jackie will begin a draft of the documents for Symposium 2</w:t>
            </w:r>
          </w:p>
          <w:p w:rsidR="00F03E80" w:rsidRPr="00B50511" w:rsidRDefault="00F03E80" w:rsidP="00B50511">
            <w:pPr>
              <w:pStyle w:val="ListParagraph"/>
              <w:numPr>
                <w:ilvl w:val="0"/>
                <w:numId w:val="35"/>
              </w:numPr>
              <w:tabs>
                <w:tab w:val="left" w:pos="4871"/>
              </w:tabs>
              <w:spacing w:before="60" w:after="60"/>
              <w:ind w:left="432" w:hanging="270"/>
              <w:rPr>
                <w:rFonts w:ascii="Calibri" w:hAnsi="Calibri"/>
              </w:rPr>
            </w:pPr>
            <w:r>
              <w:rPr>
                <w:rFonts w:ascii="Calibri" w:hAnsi="Calibri"/>
              </w:rPr>
              <w:t>Kate is working on scheduling a meeting that Evan and Laura can attend to share their findings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A52E9" w:rsidRPr="00D245ED" w:rsidRDefault="00EA52E9" w:rsidP="00B50511">
            <w:pPr>
              <w:pStyle w:val="ListParagraph"/>
              <w:spacing w:before="60" w:after="60"/>
              <w:ind w:left="342" w:hanging="180"/>
              <w:rPr>
                <w:rFonts w:ascii="Calibri" w:hAnsi="Calibri"/>
              </w:rPr>
            </w:pPr>
          </w:p>
        </w:tc>
      </w:tr>
    </w:tbl>
    <w:p w:rsidR="00A96EB5" w:rsidRPr="003D6904" w:rsidRDefault="00A96EB5" w:rsidP="00B50511">
      <w:pPr>
        <w:rPr>
          <w:rFonts w:cs="Arial"/>
          <w:szCs w:val="22"/>
        </w:rPr>
      </w:pPr>
    </w:p>
    <w:sectPr w:rsidR="00A96EB5" w:rsidRPr="003D6904" w:rsidSect="001453B0">
      <w:headerReference w:type="default" r:id="rId8"/>
      <w:footerReference w:type="default" r:id="rId9"/>
      <w:pgSz w:w="15840" w:h="12240" w:orient="landscape" w:code="1"/>
      <w:pgMar w:top="720" w:right="2016" w:bottom="72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4" w:rsidRDefault="00B22824">
      <w:r>
        <w:separator/>
      </w:r>
    </w:p>
  </w:endnote>
  <w:endnote w:type="continuationSeparator" w:id="0">
    <w:p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rsidR="000E10A5" w:rsidRPr="000E10A5" w:rsidRDefault="000E10A5" w:rsidP="00E900DF">
    <w:pPr>
      <w:pStyle w:val="Default"/>
      <w:rPr>
        <w:rFonts w:ascii="Arial" w:hAnsi="Arial" w:cs="Arial"/>
        <w:sz w:val="20"/>
        <w:szCs w:val="20"/>
      </w:rPr>
    </w:pPr>
  </w:p>
  <w:p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4" w:rsidRDefault="00B22824">
      <w:r>
        <w:separator/>
      </w:r>
    </w:p>
  </w:footnote>
  <w:footnote w:type="continuationSeparator" w:id="0">
    <w:p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EC" w:rsidRDefault="004B07EC" w:rsidP="003D02F0">
    <w:r>
      <w:tab/>
    </w:r>
    <w:r>
      <w:tab/>
    </w:r>
    <w:r>
      <w:tab/>
    </w:r>
    <w:r>
      <w:tab/>
    </w:r>
    <w:r>
      <w:tab/>
      <w:t xml:space="preserve">      </w:t>
    </w:r>
  </w:p>
  <w:p w:rsidR="00A06376" w:rsidRDefault="00A06376" w:rsidP="00A06376">
    <w:pPr>
      <w:spacing w:line="389" w:lineRule="exact"/>
      <w:ind w:left="20"/>
      <w:jc w:val="right"/>
      <w:rPr>
        <w:rFonts w:ascii="Arial" w:hAnsi="Arial" w:cs="Arial"/>
        <w:b/>
        <w:color w:val="B4BE35"/>
        <w:spacing w:val="-1"/>
        <w:sz w:val="34"/>
        <w:szCs w:val="34"/>
      </w:rPr>
    </w:pPr>
  </w:p>
  <w:p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091BC29" wp14:editId="66D2B009">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116C5363" wp14:editId="01E3795F">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3074C60C" wp14:editId="0ADE95A0">
          <wp:simplePos x="0" y="0"/>
          <wp:positionH relativeFrom="margin">
            <wp:posOffset>0</wp:posOffset>
          </wp:positionH>
          <wp:positionV relativeFrom="page">
            <wp:posOffset>352425</wp:posOffset>
          </wp:positionV>
          <wp:extent cx="2057400" cy="501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E83"/>
    <w:multiLevelType w:val="hybridMultilevel"/>
    <w:tmpl w:val="4F7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4702"/>
    <w:multiLevelType w:val="hybridMultilevel"/>
    <w:tmpl w:val="9C7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E7E38"/>
    <w:multiLevelType w:val="hybridMultilevel"/>
    <w:tmpl w:val="EFD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1B1562"/>
    <w:multiLevelType w:val="hybridMultilevel"/>
    <w:tmpl w:val="69B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AE7096"/>
    <w:multiLevelType w:val="hybridMultilevel"/>
    <w:tmpl w:val="25F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241BF"/>
    <w:multiLevelType w:val="hybridMultilevel"/>
    <w:tmpl w:val="E434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61C18"/>
    <w:multiLevelType w:val="hybridMultilevel"/>
    <w:tmpl w:val="15E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69A10521"/>
    <w:multiLevelType w:val="hybridMultilevel"/>
    <w:tmpl w:val="E034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7"/>
  </w:num>
  <w:num w:numId="5">
    <w:abstractNumId w:val="24"/>
  </w:num>
  <w:num w:numId="6">
    <w:abstractNumId w:val="10"/>
  </w:num>
  <w:num w:numId="7">
    <w:abstractNumId w:val="22"/>
  </w:num>
  <w:num w:numId="8">
    <w:abstractNumId w:val="25"/>
  </w:num>
  <w:num w:numId="9">
    <w:abstractNumId w:val="12"/>
  </w:num>
  <w:num w:numId="10">
    <w:abstractNumId w:val="8"/>
  </w:num>
  <w:num w:numId="11">
    <w:abstractNumId w:val="21"/>
  </w:num>
  <w:num w:numId="12">
    <w:abstractNumId w:val="36"/>
  </w:num>
  <w:num w:numId="13">
    <w:abstractNumId w:val="19"/>
  </w:num>
  <w:num w:numId="14">
    <w:abstractNumId w:val="16"/>
  </w:num>
  <w:num w:numId="15">
    <w:abstractNumId w:val="9"/>
  </w:num>
  <w:num w:numId="16">
    <w:abstractNumId w:val="31"/>
  </w:num>
  <w:num w:numId="17">
    <w:abstractNumId w:val="15"/>
  </w:num>
  <w:num w:numId="18">
    <w:abstractNumId w:val="1"/>
  </w:num>
  <w:num w:numId="19">
    <w:abstractNumId w:val="39"/>
  </w:num>
  <w:num w:numId="20">
    <w:abstractNumId w:val="35"/>
  </w:num>
  <w:num w:numId="21">
    <w:abstractNumId w:val="32"/>
  </w:num>
  <w:num w:numId="22">
    <w:abstractNumId w:val="37"/>
  </w:num>
  <w:num w:numId="23">
    <w:abstractNumId w:val="29"/>
  </w:num>
  <w:num w:numId="24">
    <w:abstractNumId w:val="2"/>
  </w:num>
  <w:num w:numId="25">
    <w:abstractNumId w:val="18"/>
  </w:num>
  <w:num w:numId="26">
    <w:abstractNumId w:val="40"/>
  </w:num>
  <w:num w:numId="27">
    <w:abstractNumId w:val="17"/>
  </w:num>
  <w:num w:numId="28">
    <w:abstractNumId w:val="38"/>
  </w:num>
  <w:num w:numId="29">
    <w:abstractNumId w:val="14"/>
  </w:num>
  <w:num w:numId="30">
    <w:abstractNumId w:val="28"/>
  </w:num>
  <w:num w:numId="31">
    <w:abstractNumId w:val="3"/>
  </w:num>
  <w:num w:numId="32">
    <w:abstractNumId w:val="34"/>
  </w:num>
  <w:num w:numId="33">
    <w:abstractNumId w:val="11"/>
  </w:num>
  <w:num w:numId="34">
    <w:abstractNumId w:val="5"/>
  </w:num>
  <w:num w:numId="35">
    <w:abstractNumId w:val="0"/>
  </w:num>
  <w:num w:numId="36">
    <w:abstractNumId w:val="26"/>
  </w:num>
  <w:num w:numId="37">
    <w:abstractNumId w:val="13"/>
  </w:num>
  <w:num w:numId="38">
    <w:abstractNumId w:val="27"/>
  </w:num>
  <w:num w:numId="39">
    <w:abstractNumId w:val="30"/>
  </w:num>
  <w:num w:numId="40">
    <w:abstractNumId w:val="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8673">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07D67"/>
    <w:rsid w:val="000214D4"/>
    <w:rsid w:val="0002757B"/>
    <w:rsid w:val="00071A72"/>
    <w:rsid w:val="00080838"/>
    <w:rsid w:val="00086975"/>
    <w:rsid w:val="00092087"/>
    <w:rsid w:val="000972BD"/>
    <w:rsid w:val="000B23D7"/>
    <w:rsid w:val="000B4B5E"/>
    <w:rsid w:val="000B53D8"/>
    <w:rsid w:val="000C447C"/>
    <w:rsid w:val="000D0B57"/>
    <w:rsid w:val="000E10A5"/>
    <w:rsid w:val="000E612E"/>
    <w:rsid w:val="000E6618"/>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B26E6"/>
    <w:rsid w:val="001B4EAA"/>
    <w:rsid w:val="001D2B57"/>
    <w:rsid w:val="001E22A1"/>
    <w:rsid w:val="001F67AE"/>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E7EBD"/>
    <w:rsid w:val="003004E6"/>
    <w:rsid w:val="00316607"/>
    <w:rsid w:val="00316F2E"/>
    <w:rsid w:val="00321F06"/>
    <w:rsid w:val="00330EAD"/>
    <w:rsid w:val="00331045"/>
    <w:rsid w:val="00331522"/>
    <w:rsid w:val="003328ED"/>
    <w:rsid w:val="00336226"/>
    <w:rsid w:val="00341AC7"/>
    <w:rsid w:val="003502D2"/>
    <w:rsid w:val="00367DC8"/>
    <w:rsid w:val="00372BE9"/>
    <w:rsid w:val="003741C5"/>
    <w:rsid w:val="00386DA2"/>
    <w:rsid w:val="003A23D7"/>
    <w:rsid w:val="003B7C0F"/>
    <w:rsid w:val="003C2910"/>
    <w:rsid w:val="003C629E"/>
    <w:rsid w:val="003C654D"/>
    <w:rsid w:val="003C7B0B"/>
    <w:rsid w:val="003D02F0"/>
    <w:rsid w:val="003D49D9"/>
    <w:rsid w:val="003D4D86"/>
    <w:rsid w:val="003D6904"/>
    <w:rsid w:val="003F40AB"/>
    <w:rsid w:val="003F4FF1"/>
    <w:rsid w:val="00401058"/>
    <w:rsid w:val="004017BE"/>
    <w:rsid w:val="00404B77"/>
    <w:rsid w:val="00404F48"/>
    <w:rsid w:val="00417021"/>
    <w:rsid w:val="00417F96"/>
    <w:rsid w:val="00433681"/>
    <w:rsid w:val="00436E9F"/>
    <w:rsid w:val="00442530"/>
    <w:rsid w:val="00456F1F"/>
    <w:rsid w:val="00460BB7"/>
    <w:rsid w:val="004612B1"/>
    <w:rsid w:val="004617A2"/>
    <w:rsid w:val="00477544"/>
    <w:rsid w:val="00480219"/>
    <w:rsid w:val="00481010"/>
    <w:rsid w:val="004821FB"/>
    <w:rsid w:val="00487045"/>
    <w:rsid w:val="004A7C68"/>
    <w:rsid w:val="004B07EC"/>
    <w:rsid w:val="004B285F"/>
    <w:rsid w:val="004C1F47"/>
    <w:rsid w:val="004C3722"/>
    <w:rsid w:val="004C6A30"/>
    <w:rsid w:val="004D6325"/>
    <w:rsid w:val="004E106C"/>
    <w:rsid w:val="004E1989"/>
    <w:rsid w:val="004F0B35"/>
    <w:rsid w:val="00500101"/>
    <w:rsid w:val="0050277C"/>
    <w:rsid w:val="00514239"/>
    <w:rsid w:val="005365DE"/>
    <w:rsid w:val="005416D3"/>
    <w:rsid w:val="00547025"/>
    <w:rsid w:val="005477EC"/>
    <w:rsid w:val="00552AA3"/>
    <w:rsid w:val="00570258"/>
    <w:rsid w:val="00577BC9"/>
    <w:rsid w:val="0058537F"/>
    <w:rsid w:val="00590E04"/>
    <w:rsid w:val="0059575F"/>
    <w:rsid w:val="005A2059"/>
    <w:rsid w:val="005A7B88"/>
    <w:rsid w:val="005C0389"/>
    <w:rsid w:val="005C7BFB"/>
    <w:rsid w:val="005D439A"/>
    <w:rsid w:val="005D52B4"/>
    <w:rsid w:val="005E5D8D"/>
    <w:rsid w:val="005E76B1"/>
    <w:rsid w:val="005F3D2D"/>
    <w:rsid w:val="0060443C"/>
    <w:rsid w:val="00621AD0"/>
    <w:rsid w:val="0063081D"/>
    <w:rsid w:val="00631E5D"/>
    <w:rsid w:val="006320BC"/>
    <w:rsid w:val="00636AD8"/>
    <w:rsid w:val="00637759"/>
    <w:rsid w:val="00640FB0"/>
    <w:rsid w:val="00643EE1"/>
    <w:rsid w:val="00647983"/>
    <w:rsid w:val="006643BF"/>
    <w:rsid w:val="00681532"/>
    <w:rsid w:val="00690FED"/>
    <w:rsid w:val="006954A9"/>
    <w:rsid w:val="006B38B5"/>
    <w:rsid w:val="006C30C4"/>
    <w:rsid w:val="006D2862"/>
    <w:rsid w:val="006E0908"/>
    <w:rsid w:val="006F1ECB"/>
    <w:rsid w:val="006F36CB"/>
    <w:rsid w:val="00706359"/>
    <w:rsid w:val="007114E7"/>
    <w:rsid w:val="00715FC3"/>
    <w:rsid w:val="00716E2E"/>
    <w:rsid w:val="007335E2"/>
    <w:rsid w:val="00733C91"/>
    <w:rsid w:val="0074293E"/>
    <w:rsid w:val="00745344"/>
    <w:rsid w:val="00764B54"/>
    <w:rsid w:val="007660C8"/>
    <w:rsid w:val="0077281B"/>
    <w:rsid w:val="00783D27"/>
    <w:rsid w:val="00786159"/>
    <w:rsid w:val="00797D9B"/>
    <w:rsid w:val="007A35F2"/>
    <w:rsid w:val="007A4FA5"/>
    <w:rsid w:val="007B3E4D"/>
    <w:rsid w:val="007C1B5B"/>
    <w:rsid w:val="007D03C3"/>
    <w:rsid w:val="007D1E64"/>
    <w:rsid w:val="007D68CE"/>
    <w:rsid w:val="007F0B2B"/>
    <w:rsid w:val="007F33BD"/>
    <w:rsid w:val="007F6F21"/>
    <w:rsid w:val="0081447B"/>
    <w:rsid w:val="008164DA"/>
    <w:rsid w:val="00822DB2"/>
    <w:rsid w:val="00822F2F"/>
    <w:rsid w:val="00854D5E"/>
    <w:rsid w:val="00854E92"/>
    <w:rsid w:val="00866782"/>
    <w:rsid w:val="008714A1"/>
    <w:rsid w:val="00884D7C"/>
    <w:rsid w:val="0088726D"/>
    <w:rsid w:val="0088780C"/>
    <w:rsid w:val="008930D2"/>
    <w:rsid w:val="008937AF"/>
    <w:rsid w:val="008A52AD"/>
    <w:rsid w:val="008B23DA"/>
    <w:rsid w:val="008B644C"/>
    <w:rsid w:val="008C3B24"/>
    <w:rsid w:val="008C6427"/>
    <w:rsid w:val="008C7E1E"/>
    <w:rsid w:val="008D4B72"/>
    <w:rsid w:val="008D5BFD"/>
    <w:rsid w:val="008D79F7"/>
    <w:rsid w:val="008E3A14"/>
    <w:rsid w:val="00916144"/>
    <w:rsid w:val="0092041D"/>
    <w:rsid w:val="009347BB"/>
    <w:rsid w:val="009376A5"/>
    <w:rsid w:val="00960A84"/>
    <w:rsid w:val="009616AA"/>
    <w:rsid w:val="00966891"/>
    <w:rsid w:val="00967DDB"/>
    <w:rsid w:val="00967F08"/>
    <w:rsid w:val="009769A5"/>
    <w:rsid w:val="0099011A"/>
    <w:rsid w:val="00990EEC"/>
    <w:rsid w:val="009956CA"/>
    <w:rsid w:val="009974B4"/>
    <w:rsid w:val="009A1589"/>
    <w:rsid w:val="009A2687"/>
    <w:rsid w:val="009A5FA5"/>
    <w:rsid w:val="009A79FB"/>
    <w:rsid w:val="009B56B2"/>
    <w:rsid w:val="009B596E"/>
    <w:rsid w:val="009C6B89"/>
    <w:rsid w:val="009D2F38"/>
    <w:rsid w:val="009D624F"/>
    <w:rsid w:val="009F6DE9"/>
    <w:rsid w:val="009F7669"/>
    <w:rsid w:val="00A06376"/>
    <w:rsid w:val="00A070B2"/>
    <w:rsid w:val="00A07C7E"/>
    <w:rsid w:val="00A56EA7"/>
    <w:rsid w:val="00A676C7"/>
    <w:rsid w:val="00A72A46"/>
    <w:rsid w:val="00A7416B"/>
    <w:rsid w:val="00A76B5C"/>
    <w:rsid w:val="00A84782"/>
    <w:rsid w:val="00A932C6"/>
    <w:rsid w:val="00A96EB5"/>
    <w:rsid w:val="00AA01DE"/>
    <w:rsid w:val="00AA24EB"/>
    <w:rsid w:val="00AB64D9"/>
    <w:rsid w:val="00AC7F96"/>
    <w:rsid w:val="00AF5D57"/>
    <w:rsid w:val="00B14F9E"/>
    <w:rsid w:val="00B22824"/>
    <w:rsid w:val="00B24309"/>
    <w:rsid w:val="00B24BB3"/>
    <w:rsid w:val="00B27A32"/>
    <w:rsid w:val="00B37DA4"/>
    <w:rsid w:val="00B40E42"/>
    <w:rsid w:val="00B46C45"/>
    <w:rsid w:val="00B50511"/>
    <w:rsid w:val="00B51184"/>
    <w:rsid w:val="00B53238"/>
    <w:rsid w:val="00B53DE0"/>
    <w:rsid w:val="00B649E1"/>
    <w:rsid w:val="00B7260D"/>
    <w:rsid w:val="00B91F44"/>
    <w:rsid w:val="00B93D1B"/>
    <w:rsid w:val="00BC241C"/>
    <w:rsid w:val="00BD11AA"/>
    <w:rsid w:val="00BD30FA"/>
    <w:rsid w:val="00BE7E35"/>
    <w:rsid w:val="00C20B28"/>
    <w:rsid w:val="00C37EF2"/>
    <w:rsid w:val="00C60482"/>
    <w:rsid w:val="00C64531"/>
    <w:rsid w:val="00C664E4"/>
    <w:rsid w:val="00C76C87"/>
    <w:rsid w:val="00C80B3D"/>
    <w:rsid w:val="00C86606"/>
    <w:rsid w:val="00C901C8"/>
    <w:rsid w:val="00CC520E"/>
    <w:rsid w:val="00CC59CA"/>
    <w:rsid w:val="00CD41CC"/>
    <w:rsid w:val="00CD477A"/>
    <w:rsid w:val="00CD5D7D"/>
    <w:rsid w:val="00CE1002"/>
    <w:rsid w:val="00CF2D14"/>
    <w:rsid w:val="00CF2DDE"/>
    <w:rsid w:val="00CF5ED3"/>
    <w:rsid w:val="00D2443E"/>
    <w:rsid w:val="00D245ED"/>
    <w:rsid w:val="00D25AA0"/>
    <w:rsid w:val="00D442FF"/>
    <w:rsid w:val="00D54302"/>
    <w:rsid w:val="00D55E6F"/>
    <w:rsid w:val="00D72312"/>
    <w:rsid w:val="00D738E6"/>
    <w:rsid w:val="00D86885"/>
    <w:rsid w:val="00D9377B"/>
    <w:rsid w:val="00D93BE0"/>
    <w:rsid w:val="00DB03ED"/>
    <w:rsid w:val="00DB697C"/>
    <w:rsid w:val="00DC32B1"/>
    <w:rsid w:val="00DC65BE"/>
    <w:rsid w:val="00DD437F"/>
    <w:rsid w:val="00E05EA5"/>
    <w:rsid w:val="00E15B15"/>
    <w:rsid w:val="00E1616A"/>
    <w:rsid w:val="00E22F3F"/>
    <w:rsid w:val="00E27D81"/>
    <w:rsid w:val="00E3197A"/>
    <w:rsid w:val="00E344D6"/>
    <w:rsid w:val="00E37C65"/>
    <w:rsid w:val="00E41B40"/>
    <w:rsid w:val="00E50BB4"/>
    <w:rsid w:val="00E5620C"/>
    <w:rsid w:val="00E60702"/>
    <w:rsid w:val="00E6542A"/>
    <w:rsid w:val="00E74321"/>
    <w:rsid w:val="00E74634"/>
    <w:rsid w:val="00E7593F"/>
    <w:rsid w:val="00E900DF"/>
    <w:rsid w:val="00E94222"/>
    <w:rsid w:val="00E96838"/>
    <w:rsid w:val="00EA037F"/>
    <w:rsid w:val="00EA099C"/>
    <w:rsid w:val="00EA52E9"/>
    <w:rsid w:val="00EB2E49"/>
    <w:rsid w:val="00EC2E54"/>
    <w:rsid w:val="00ED30E5"/>
    <w:rsid w:val="00EE4B88"/>
    <w:rsid w:val="00EE54D2"/>
    <w:rsid w:val="00EF0908"/>
    <w:rsid w:val="00F016AD"/>
    <w:rsid w:val="00F03E80"/>
    <w:rsid w:val="00F10DA3"/>
    <w:rsid w:val="00F15710"/>
    <w:rsid w:val="00F22294"/>
    <w:rsid w:val="00F25166"/>
    <w:rsid w:val="00F275B9"/>
    <w:rsid w:val="00F33F5A"/>
    <w:rsid w:val="00F34D4F"/>
    <w:rsid w:val="00F7177C"/>
    <w:rsid w:val="00F74500"/>
    <w:rsid w:val="00F918FA"/>
    <w:rsid w:val="00F92B4E"/>
    <w:rsid w:val="00FA21A7"/>
    <w:rsid w:val="00FB0E37"/>
    <w:rsid w:val="00FB52ED"/>
    <w:rsid w:val="00FB5B9B"/>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6bf00"/>
    </o:shapedefaults>
    <o:shapelayout v:ext="edit">
      <o:idmap v:ext="edit" data="1"/>
    </o:shapelayout>
  </w:shapeDefaults>
  <w:decimalSymbol w:val="."/>
  <w:listSeparator w:val=","/>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10FD-BF14-4CB1-981A-417A7861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Kate Houg</cp:lastModifiedBy>
  <cp:revision>5</cp:revision>
  <cp:lastPrinted>2011-05-26T18:08:00Z</cp:lastPrinted>
  <dcterms:created xsi:type="dcterms:W3CDTF">2016-10-13T15:08:00Z</dcterms:created>
  <dcterms:modified xsi:type="dcterms:W3CDTF">2016-10-13T18:43:00Z</dcterms:modified>
</cp:coreProperties>
</file>