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4" w:type="dxa"/>
        <w:tblInd w:w="288" w:type="dxa"/>
        <w:tblLayout w:type="fixed"/>
        <w:tblLook w:val="0000" w:firstRow="0" w:lastRow="0" w:firstColumn="0" w:lastColumn="0" w:noHBand="0" w:noVBand="0"/>
      </w:tblPr>
      <w:tblGrid>
        <w:gridCol w:w="1684"/>
        <w:gridCol w:w="1350"/>
        <w:gridCol w:w="720"/>
        <w:gridCol w:w="10350"/>
      </w:tblGrid>
      <w:tr w:rsidR="001453B0" w:rsidRPr="00BE383E" w:rsidTr="00461488">
        <w:trPr>
          <w:trHeight w:val="138"/>
        </w:trPr>
        <w:tc>
          <w:tcPr>
            <w:tcW w:w="14104" w:type="dxa"/>
            <w:gridSpan w:val="4"/>
            <w:tcBorders>
              <w:top w:val="single" w:sz="6" w:space="0" w:color="auto"/>
              <w:left w:val="single" w:sz="6" w:space="0" w:color="auto"/>
              <w:bottom w:val="single" w:sz="4" w:space="0" w:color="auto"/>
              <w:right w:val="single" w:sz="6" w:space="0" w:color="auto"/>
            </w:tcBorders>
          </w:tcPr>
          <w:p w:rsidR="001453B0" w:rsidRPr="00EA52E9" w:rsidRDefault="00B53238" w:rsidP="00B53238">
            <w:pPr>
              <w:tabs>
                <w:tab w:val="left" w:pos="3368"/>
              </w:tabs>
              <w:spacing w:after="60"/>
              <w:rPr>
                <w:rFonts w:ascii="Calibri" w:hAnsi="Calibri"/>
                <w:b/>
                <w:szCs w:val="22"/>
              </w:rPr>
            </w:pPr>
            <w:r w:rsidRPr="00EA52E9">
              <w:rPr>
                <w:rFonts w:ascii="Calibri" w:hAnsi="Calibri"/>
                <w:b/>
                <w:szCs w:val="22"/>
              </w:rPr>
              <w:t>Patient, caregiver and family education and support WG</w:t>
            </w:r>
          </w:p>
        </w:tc>
      </w:tr>
      <w:tr w:rsidR="001453B0" w:rsidRPr="00BE383E" w:rsidTr="00461488">
        <w:trPr>
          <w:trHeight w:val="138"/>
        </w:trPr>
        <w:tc>
          <w:tcPr>
            <w:tcW w:w="14104" w:type="dxa"/>
            <w:gridSpan w:val="4"/>
            <w:tcBorders>
              <w:top w:val="single" w:sz="6" w:space="0" w:color="auto"/>
              <w:left w:val="single" w:sz="6" w:space="0" w:color="auto"/>
              <w:bottom w:val="single" w:sz="4" w:space="0" w:color="auto"/>
              <w:right w:val="single" w:sz="6" w:space="0" w:color="auto"/>
            </w:tcBorders>
          </w:tcPr>
          <w:p w:rsidR="001453B0" w:rsidRPr="00EA52E9" w:rsidRDefault="001453B0" w:rsidP="00744760">
            <w:pPr>
              <w:spacing w:after="60"/>
              <w:rPr>
                <w:rFonts w:ascii="Calibri" w:hAnsi="Calibri"/>
                <w:b/>
                <w:szCs w:val="22"/>
              </w:rPr>
            </w:pPr>
            <w:r w:rsidRPr="00EA52E9">
              <w:rPr>
                <w:rFonts w:ascii="Calibri" w:hAnsi="Calibri"/>
                <w:b/>
                <w:szCs w:val="22"/>
              </w:rPr>
              <w:t xml:space="preserve">Date: </w:t>
            </w:r>
            <w:r w:rsidR="00744760">
              <w:rPr>
                <w:rFonts w:ascii="Calibri" w:hAnsi="Calibri"/>
                <w:b/>
                <w:szCs w:val="22"/>
              </w:rPr>
              <w:t>9/1</w:t>
            </w:r>
            <w:r w:rsidR="00EA52E9">
              <w:rPr>
                <w:rFonts w:ascii="Calibri" w:hAnsi="Calibri"/>
                <w:b/>
                <w:szCs w:val="22"/>
              </w:rPr>
              <w:t>/16</w:t>
            </w:r>
            <w:r w:rsidRPr="00EA52E9">
              <w:rPr>
                <w:rFonts w:ascii="Calibri" w:hAnsi="Calibri"/>
                <w:b/>
                <w:szCs w:val="22"/>
              </w:rPr>
              <w:t xml:space="preserve"> Start Time: </w:t>
            </w:r>
            <w:r w:rsidR="00925BD7">
              <w:rPr>
                <w:rFonts w:ascii="Calibri" w:hAnsi="Calibri"/>
                <w:b/>
                <w:szCs w:val="22"/>
              </w:rPr>
              <w:t>9:3</w:t>
            </w:r>
            <w:r w:rsidR="00EA52E9">
              <w:rPr>
                <w:rFonts w:ascii="Calibri" w:hAnsi="Calibri"/>
                <w:b/>
                <w:szCs w:val="22"/>
              </w:rPr>
              <w:t>0</w:t>
            </w:r>
            <w:r w:rsidR="00B53238" w:rsidRPr="00EA52E9">
              <w:rPr>
                <w:rFonts w:ascii="Calibri" w:hAnsi="Calibri"/>
                <w:b/>
                <w:szCs w:val="22"/>
              </w:rPr>
              <w:t xml:space="preserve">am </w:t>
            </w:r>
            <w:r w:rsidR="00EA52E9">
              <w:rPr>
                <w:rFonts w:ascii="Calibri" w:hAnsi="Calibri"/>
                <w:b/>
                <w:szCs w:val="22"/>
              </w:rPr>
              <w:t xml:space="preserve">CST </w:t>
            </w:r>
            <w:r w:rsidRPr="00EA52E9">
              <w:rPr>
                <w:rFonts w:ascii="Calibri" w:hAnsi="Calibri"/>
                <w:b/>
                <w:szCs w:val="22"/>
              </w:rPr>
              <w:t xml:space="preserve">End Time: </w:t>
            </w:r>
            <w:r w:rsidR="00925BD7">
              <w:rPr>
                <w:rFonts w:ascii="Calibri" w:hAnsi="Calibri"/>
                <w:b/>
                <w:szCs w:val="22"/>
              </w:rPr>
              <w:t>10:3</w:t>
            </w:r>
            <w:r w:rsidR="00EA52E9">
              <w:rPr>
                <w:rFonts w:ascii="Calibri" w:hAnsi="Calibri"/>
                <w:b/>
                <w:szCs w:val="22"/>
              </w:rPr>
              <w:t>0</w:t>
            </w:r>
            <w:r w:rsidR="00B53238" w:rsidRPr="00EA52E9">
              <w:rPr>
                <w:rFonts w:ascii="Calibri" w:hAnsi="Calibri"/>
                <w:b/>
                <w:szCs w:val="22"/>
              </w:rPr>
              <w:t>am</w:t>
            </w:r>
            <w:r w:rsidR="00EA52E9">
              <w:rPr>
                <w:rFonts w:ascii="Calibri" w:hAnsi="Calibri"/>
                <w:b/>
                <w:szCs w:val="22"/>
              </w:rPr>
              <w:t xml:space="preserve"> CST</w:t>
            </w:r>
          </w:p>
        </w:tc>
      </w:tr>
      <w:tr w:rsidR="001453B0" w:rsidRPr="003C2B24" w:rsidTr="00461488">
        <w:tc>
          <w:tcPr>
            <w:tcW w:w="14104" w:type="dxa"/>
            <w:gridSpan w:val="4"/>
            <w:tcBorders>
              <w:top w:val="single" w:sz="4" w:space="0" w:color="auto"/>
              <w:left w:val="single" w:sz="4" w:space="0" w:color="auto"/>
              <w:bottom w:val="single" w:sz="6" w:space="0" w:color="auto"/>
              <w:right w:val="single" w:sz="4" w:space="0" w:color="auto"/>
            </w:tcBorders>
          </w:tcPr>
          <w:p w:rsidR="00EA52E9" w:rsidRPr="00685AB7" w:rsidRDefault="001453B0" w:rsidP="00EA52E9">
            <w:pPr>
              <w:spacing w:after="120"/>
              <w:rPr>
                <w:rFonts w:ascii="Calibri" w:hAnsi="Calibri" w:cs="Times"/>
                <w:szCs w:val="22"/>
              </w:rPr>
            </w:pPr>
            <w:r w:rsidRPr="00EA52E9">
              <w:rPr>
                <w:rFonts w:ascii="Calibri" w:hAnsi="Calibri"/>
                <w:b/>
                <w:szCs w:val="22"/>
              </w:rPr>
              <w:t>Attendees</w:t>
            </w:r>
            <w:r w:rsidRPr="004E5D63">
              <w:rPr>
                <w:rFonts w:ascii="Calibri" w:hAnsi="Calibri"/>
                <w:b/>
                <w:szCs w:val="22"/>
              </w:rPr>
              <w:t xml:space="preserve">: </w:t>
            </w:r>
            <w:r w:rsidR="00EA52E9" w:rsidRPr="00744760">
              <w:rPr>
                <w:rFonts w:ascii="Calibri" w:hAnsi="Calibri" w:cs="Times"/>
                <w:szCs w:val="22"/>
              </w:rPr>
              <w:t xml:space="preserve">Kim Schmit-Pokorny, RN, </w:t>
            </w:r>
            <w:r w:rsidR="00710FFE" w:rsidRPr="00744760">
              <w:rPr>
                <w:rFonts w:ascii="Calibri" w:hAnsi="Calibri" w:cs="Times"/>
                <w:szCs w:val="22"/>
              </w:rPr>
              <w:t>MSN, OCN, BMTCN (co-chair);</w:t>
            </w:r>
            <w:r w:rsidR="00EA52E9" w:rsidRPr="00744760">
              <w:rPr>
                <w:rFonts w:ascii="Calibri" w:hAnsi="Calibri" w:cs="Times"/>
                <w:szCs w:val="22"/>
              </w:rPr>
              <w:t xml:space="preserve"> Hélène Schoemans, MD; Margaret Bevans, RN, PhD, AOCN, FAAN; Cindy Sargeant; Everett Lee; Barry Schatz; Susan Kullberg; </w:t>
            </w:r>
            <w:r w:rsidR="00710FFE" w:rsidRPr="00744760">
              <w:rPr>
                <w:rFonts w:ascii="Calibri" w:hAnsi="Calibri"/>
                <w:szCs w:val="22"/>
              </w:rPr>
              <w:t>Evan Shereck, MD;</w:t>
            </w:r>
            <w:r w:rsidR="00744760">
              <w:rPr>
                <w:rFonts w:ascii="Calibri" w:hAnsi="Calibri"/>
                <w:szCs w:val="22"/>
              </w:rPr>
              <w:t xml:space="preserve"> </w:t>
            </w:r>
            <w:r w:rsidR="00710FFE" w:rsidRPr="00744760">
              <w:rPr>
                <w:rFonts w:ascii="Calibri" w:hAnsi="Calibri" w:cs="Times"/>
                <w:szCs w:val="22"/>
              </w:rPr>
              <w:t xml:space="preserve">Kristin Scheeler, LSW; </w:t>
            </w:r>
            <w:r w:rsidR="00EA52E9" w:rsidRPr="00744760">
              <w:rPr>
                <w:rFonts w:ascii="Calibri" w:hAnsi="Calibri" w:cs="Times"/>
                <w:szCs w:val="22"/>
              </w:rPr>
              <w:t xml:space="preserve">Kate Houg (NMDP admin staff); </w:t>
            </w:r>
            <w:r w:rsidR="00710FFE" w:rsidRPr="00744760">
              <w:rPr>
                <w:rFonts w:ascii="Calibri" w:hAnsi="Calibri" w:cs="Times"/>
                <w:szCs w:val="22"/>
              </w:rPr>
              <w:t>Laura Finn</w:t>
            </w:r>
            <w:r w:rsidR="008E5A9A">
              <w:rPr>
                <w:rFonts w:ascii="Calibri" w:hAnsi="Calibri" w:cs="Times"/>
                <w:szCs w:val="22"/>
              </w:rPr>
              <w:t>, MD</w:t>
            </w:r>
            <w:r w:rsidR="00710FFE" w:rsidRPr="00744760">
              <w:rPr>
                <w:rFonts w:ascii="Calibri" w:hAnsi="Calibri" w:cs="Times"/>
                <w:szCs w:val="22"/>
              </w:rPr>
              <w:t xml:space="preserve">; </w:t>
            </w:r>
            <w:r w:rsidR="00EA52E9" w:rsidRPr="00744760">
              <w:rPr>
                <w:rFonts w:ascii="Calibri" w:hAnsi="Calibri" w:cs="Times"/>
                <w:szCs w:val="22"/>
              </w:rPr>
              <w:t>Jackie Foster, MPH, RN (lead NMDP staff)</w:t>
            </w:r>
            <w:r w:rsidR="00E94222" w:rsidRPr="00744760">
              <w:rPr>
                <w:rFonts w:ascii="Calibri" w:hAnsi="Calibri" w:cs="Times"/>
                <w:szCs w:val="22"/>
              </w:rPr>
              <w:t>,</w:t>
            </w:r>
            <w:r w:rsidR="00E94222" w:rsidRPr="00685AB7">
              <w:rPr>
                <w:rFonts w:ascii="Calibri" w:hAnsi="Calibri" w:cs="Times"/>
                <w:szCs w:val="22"/>
              </w:rPr>
              <w:t xml:space="preserve"> </w:t>
            </w:r>
          </w:p>
          <w:p w:rsidR="00AF5D57" w:rsidRPr="00EA52E9" w:rsidRDefault="00AF5D57" w:rsidP="00710FFE">
            <w:pPr>
              <w:spacing w:after="120"/>
              <w:rPr>
                <w:rFonts w:ascii="Calibri" w:hAnsi="Calibri"/>
                <w:b/>
                <w:szCs w:val="22"/>
              </w:rPr>
            </w:pPr>
            <w:r w:rsidRPr="00685AB7">
              <w:rPr>
                <w:rFonts w:ascii="Calibri" w:hAnsi="Calibri"/>
                <w:b/>
                <w:szCs w:val="22"/>
              </w:rPr>
              <w:t>Not in attendance:</w:t>
            </w:r>
            <w:r w:rsidRPr="00685AB7">
              <w:rPr>
                <w:rFonts w:ascii="Calibri" w:hAnsi="Calibri"/>
                <w:szCs w:val="22"/>
              </w:rPr>
              <w:t xml:space="preserve"> </w:t>
            </w:r>
            <w:r w:rsidR="004E5D63" w:rsidRPr="00685AB7">
              <w:rPr>
                <w:rFonts w:ascii="Calibri" w:hAnsi="Calibri" w:cs="Times"/>
                <w:szCs w:val="22"/>
              </w:rPr>
              <w:t>Jack Aiello;</w:t>
            </w:r>
            <w:r w:rsidR="00685AB7" w:rsidRPr="00685AB7">
              <w:rPr>
                <w:rFonts w:ascii="Calibri" w:hAnsi="Calibri" w:cs="Times"/>
                <w:szCs w:val="22"/>
              </w:rPr>
              <w:t xml:space="preserve"> Bronwen Shaw, MD; </w:t>
            </w:r>
            <w:r w:rsidR="00710FFE" w:rsidRPr="00685AB7">
              <w:rPr>
                <w:rFonts w:ascii="Calibri" w:hAnsi="Calibri" w:cs="Times"/>
                <w:szCs w:val="22"/>
              </w:rPr>
              <w:t>Alva Roche-Green, MD (co-chair);</w:t>
            </w:r>
            <w:r w:rsidR="00983817">
              <w:rPr>
                <w:rFonts w:ascii="Calibri" w:hAnsi="Calibri" w:cs="Times"/>
                <w:szCs w:val="22"/>
              </w:rPr>
              <w:t xml:space="preserve"> Elizabeth Murphy (NMDP staff)</w:t>
            </w:r>
          </w:p>
        </w:tc>
      </w:tr>
      <w:tr w:rsidR="00F22D35" w:rsidRPr="00882F60" w:rsidTr="00F22D35">
        <w:tc>
          <w:tcPr>
            <w:tcW w:w="1684" w:type="dxa"/>
            <w:tcBorders>
              <w:top w:val="single" w:sz="6" w:space="0" w:color="auto"/>
              <w:left w:val="single" w:sz="6" w:space="0" w:color="auto"/>
              <w:bottom w:val="single" w:sz="6" w:space="0" w:color="auto"/>
              <w:right w:val="single" w:sz="6" w:space="0" w:color="auto"/>
            </w:tcBorders>
            <w:shd w:val="clear" w:color="auto" w:fill="E6E6E6"/>
          </w:tcPr>
          <w:p w:rsidR="00F22D35" w:rsidRPr="00EA52E9" w:rsidRDefault="00F22D35" w:rsidP="00461488">
            <w:pPr>
              <w:jc w:val="center"/>
              <w:rPr>
                <w:rFonts w:ascii="Calibri" w:hAnsi="Calibri"/>
                <w:b/>
                <w:szCs w:val="22"/>
              </w:rPr>
            </w:pPr>
            <w:r w:rsidRPr="00EA52E9">
              <w:rPr>
                <w:rFonts w:ascii="Calibri" w:hAnsi="Calibri"/>
                <w:b/>
                <w:szCs w:val="22"/>
              </w:rPr>
              <w:t>TOPIC</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F22D35" w:rsidRPr="00EA52E9" w:rsidRDefault="00F22D35" w:rsidP="00461488">
            <w:pPr>
              <w:jc w:val="center"/>
              <w:rPr>
                <w:rFonts w:ascii="Calibri" w:hAnsi="Calibri"/>
                <w:b/>
                <w:szCs w:val="22"/>
              </w:rPr>
            </w:pPr>
            <w:r w:rsidRPr="00EA52E9">
              <w:rPr>
                <w:rFonts w:ascii="Calibri" w:hAnsi="Calibri"/>
                <w:b/>
                <w:szCs w:val="22"/>
              </w:rPr>
              <w:t>DISCUSSION</w:t>
            </w:r>
          </w:p>
          <w:p w:rsidR="00F22D35" w:rsidRPr="00EA52E9" w:rsidRDefault="00F22D35" w:rsidP="00461488">
            <w:pPr>
              <w:jc w:val="center"/>
              <w:rPr>
                <w:rFonts w:ascii="Calibri" w:hAnsi="Calibri"/>
                <w:b/>
                <w:szCs w:val="22"/>
              </w:rPr>
            </w:pPr>
            <w:r w:rsidRPr="00EA52E9">
              <w:rPr>
                <w:rFonts w:ascii="Calibri" w:hAnsi="Calibri"/>
                <w:b/>
                <w:szCs w:val="22"/>
              </w:rPr>
              <w:t>LEADER</w:t>
            </w:r>
          </w:p>
        </w:tc>
        <w:tc>
          <w:tcPr>
            <w:tcW w:w="720" w:type="dxa"/>
            <w:tcBorders>
              <w:top w:val="single" w:sz="6" w:space="0" w:color="auto"/>
              <w:left w:val="single" w:sz="6" w:space="0" w:color="auto"/>
              <w:bottom w:val="single" w:sz="4" w:space="0" w:color="auto"/>
              <w:right w:val="single" w:sz="6" w:space="0" w:color="auto"/>
            </w:tcBorders>
            <w:shd w:val="clear" w:color="auto" w:fill="E6E6E6"/>
          </w:tcPr>
          <w:p w:rsidR="00F22D35" w:rsidRPr="00EA52E9" w:rsidRDefault="00F22D35" w:rsidP="00461488">
            <w:pPr>
              <w:tabs>
                <w:tab w:val="center" w:pos="4019"/>
                <w:tab w:val="right" w:pos="8038"/>
              </w:tabs>
              <w:jc w:val="center"/>
              <w:rPr>
                <w:rFonts w:ascii="Calibri" w:hAnsi="Calibri"/>
                <w:b/>
                <w:szCs w:val="22"/>
              </w:rPr>
            </w:pPr>
            <w:r w:rsidRPr="00EA52E9">
              <w:rPr>
                <w:rFonts w:ascii="Calibri" w:hAnsi="Calibri"/>
                <w:b/>
                <w:szCs w:val="22"/>
              </w:rPr>
              <w:t>Time</w:t>
            </w:r>
          </w:p>
        </w:tc>
        <w:tc>
          <w:tcPr>
            <w:tcW w:w="10350" w:type="dxa"/>
            <w:tcBorders>
              <w:top w:val="single" w:sz="6" w:space="0" w:color="auto"/>
              <w:left w:val="single" w:sz="6" w:space="0" w:color="auto"/>
              <w:bottom w:val="single" w:sz="4" w:space="0" w:color="auto"/>
              <w:right w:val="single" w:sz="6" w:space="0" w:color="auto"/>
            </w:tcBorders>
            <w:shd w:val="clear" w:color="auto" w:fill="E6E6E6"/>
          </w:tcPr>
          <w:p w:rsidR="00F22D35" w:rsidRPr="00882F60" w:rsidRDefault="00F22D35" w:rsidP="00461488">
            <w:pPr>
              <w:spacing w:before="60" w:after="60"/>
              <w:rPr>
                <w:b/>
                <w:szCs w:val="22"/>
              </w:rPr>
            </w:pPr>
            <w:r w:rsidRPr="00882F60">
              <w:rPr>
                <w:b/>
                <w:szCs w:val="22"/>
              </w:rPr>
              <w:t>DISCUSSION SUMMARY</w:t>
            </w:r>
          </w:p>
        </w:tc>
      </w:tr>
      <w:tr w:rsidR="00F22D35" w:rsidRPr="009F5BF6" w:rsidTr="00F22D35">
        <w:trPr>
          <w:trHeight w:val="525"/>
        </w:trPr>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sidRPr="00EA52E9">
              <w:rPr>
                <w:rFonts w:ascii="Calibri" w:hAnsi="Calibri"/>
              </w:rPr>
              <w:t>Welcome / Introductions</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F22D35" w:rsidP="00461488">
            <w:pPr>
              <w:spacing w:before="60" w:after="60"/>
              <w:jc w:val="center"/>
              <w:rPr>
                <w:rFonts w:ascii="Calibri" w:hAnsi="Calibri"/>
              </w:rPr>
            </w:pPr>
            <w:r w:rsidRPr="00EA52E9">
              <w:rPr>
                <w:rFonts w:ascii="Calibri" w:hAnsi="Calibri"/>
              </w:rPr>
              <w:t>Jackie Foster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EA52E9">
            <w:pPr>
              <w:spacing w:before="60" w:after="60"/>
              <w:jc w:val="center"/>
              <w:rPr>
                <w:rFonts w:ascii="Calibri" w:hAnsi="Calibri"/>
              </w:rPr>
            </w:pPr>
            <w:r w:rsidRPr="00EA52E9">
              <w:rPr>
                <w:rFonts w:ascii="Calibri" w:hAnsi="Calibri"/>
              </w:rPr>
              <w:t>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94222" w:rsidRDefault="00F22D35" w:rsidP="00461488">
            <w:pPr>
              <w:spacing w:before="60" w:after="60"/>
              <w:rPr>
                <w:rFonts w:ascii="Calibri" w:hAnsi="Calibri"/>
              </w:rPr>
            </w:pPr>
            <w:r>
              <w:rPr>
                <w:rFonts w:ascii="Calibri" w:hAnsi="Calibri"/>
              </w:rPr>
              <w:t>Jackie conducted roll call</w:t>
            </w:r>
          </w:p>
        </w:tc>
      </w:tr>
      <w:tr w:rsidR="00F22D35" w:rsidRPr="009F5BF6" w:rsidTr="00F22D35">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Pr>
                <w:rFonts w:ascii="Calibri" w:hAnsi="Calibri"/>
              </w:rPr>
              <w:t>Review agenda and working group goal</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F22D35" w:rsidP="00461488">
            <w:pPr>
              <w:spacing w:before="60" w:after="60"/>
              <w:jc w:val="center"/>
              <w:rPr>
                <w:rFonts w:ascii="Calibri" w:hAnsi="Calibri"/>
              </w:rPr>
            </w:pPr>
            <w:r>
              <w:rPr>
                <w:rFonts w:ascii="Calibri" w:hAnsi="Calibri"/>
              </w:rPr>
              <w:t>Kim/Alva</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EA52E9">
            <w:pPr>
              <w:spacing w:before="60" w:after="60"/>
              <w:jc w:val="center"/>
              <w:rPr>
                <w:rFonts w:ascii="Calibri" w:hAnsi="Calibri"/>
              </w:rPr>
            </w:pPr>
            <w:r>
              <w:rPr>
                <w:rFonts w:ascii="Calibri" w:hAnsi="Calibri"/>
              </w:rPr>
              <w:t>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Default="00F22D35" w:rsidP="00461488">
            <w:pPr>
              <w:pStyle w:val="ListParagraph"/>
              <w:numPr>
                <w:ilvl w:val="0"/>
                <w:numId w:val="36"/>
              </w:numPr>
              <w:spacing w:before="60" w:after="60"/>
              <w:rPr>
                <w:rFonts w:ascii="Calibri" w:hAnsi="Calibri"/>
              </w:rPr>
            </w:pPr>
            <w:r>
              <w:rPr>
                <w:rFonts w:ascii="Calibri" w:hAnsi="Calibri"/>
              </w:rPr>
              <w:t>In the summary spreadsheet, the group filled in the gaps identified in research, research questions, and what they learned from the articles or what they found interesting</w:t>
            </w:r>
          </w:p>
          <w:p w:rsidR="00F22D35" w:rsidRPr="00F22D35" w:rsidRDefault="00F22D35" w:rsidP="00F22D35">
            <w:pPr>
              <w:pStyle w:val="ListParagraph"/>
              <w:numPr>
                <w:ilvl w:val="0"/>
                <w:numId w:val="36"/>
              </w:numPr>
              <w:spacing w:before="60" w:after="60"/>
              <w:rPr>
                <w:rFonts w:ascii="Calibri" w:hAnsi="Calibri"/>
              </w:rPr>
            </w:pPr>
            <w:r w:rsidRPr="00F22D35">
              <w:rPr>
                <w:rFonts w:ascii="Calibri" w:hAnsi="Calibri"/>
              </w:rPr>
              <w:t xml:space="preserve">Asking patients </w:t>
            </w:r>
            <w:r>
              <w:rPr>
                <w:rFonts w:ascii="Calibri" w:hAnsi="Calibri"/>
              </w:rPr>
              <w:t xml:space="preserve">&amp; </w:t>
            </w:r>
            <w:r w:rsidRPr="00F22D35">
              <w:rPr>
                <w:rFonts w:ascii="Calibri" w:hAnsi="Calibri"/>
              </w:rPr>
              <w:t xml:space="preserve">caregivers to let us know </w:t>
            </w:r>
            <w:r>
              <w:rPr>
                <w:rFonts w:ascii="Calibri" w:hAnsi="Calibri"/>
              </w:rPr>
              <w:t xml:space="preserve">if the questions/ </w:t>
            </w:r>
            <w:r w:rsidRPr="00F22D35">
              <w:rPr>
                <w:rFonts w:ascii="Calibri" w:hAnsi="Calibri"/>
              </w:rPr>
              <w:t>gaps are important to them</w:t>
            </w:r>
          </w:p>
        </w:tc>
      </w:tr>
      <w:tr w:rsidR="00F22D35" w:rsidRPr="009F5BF6" w:rsidTr="00F22D35">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Pr>
                <w:rFonts w:ascii="Calibri" w:hAnsi="Calibri"/>
              </w:rPr>
              <w:t>Share Findings</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F22D35" w:rsidP="00461488">
            <w:pPr>
              <w:spacing w:before="60" w:after="60"/>
              <w:jc w:val="center"/>
              <w:rPr>
                <w:rFonts w:ascii="Calibri" w:hAnsi="Calibri"/>
              </w:rPr>
            </w:pPr>
            <w:r w:rsidRPr="004F019E">
              <w:rPr>
                <w:rFonts w:cs="Times"/>
                <w:sz w:val="20"/>
                <w:szCs w:val="20"/>
              </w:rPr>
              <w:t xml:space="preserve">Hélène </w:t>
            </w:r>
            <w:r>
              <w:rPr>
                <w:rFonts w:cs="Times"/>
                <w:sz w:val="20"/>
                <w:szCs w:val="20"/>
              </w:rPr>
              <w:t>&amp; Susan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461488">
            <w:pPr>
              <w:spacing w:before="60" w:after="60"/>
              <w:jc w:val="center"/>
              <w:rPr>
                <w:rFonts w:ascii="Calibri" w:hAnsi="Calibri"/>
              </w:rPr>
            </w:pPr>
            <w:r>
              <w:rPr>
                <w:rFonts w:ascii="Calibri" w:hAnsi="Calibri"/>
              </w:rPr>
              <w:t>15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983817" w:rsidRDefault="00F22D35" w:rsidP="00983817">
            <w:pPr>
              <w:pStyle w:val="ListParagraph"/>
              <w:numPr>
                <w:ilvl w:val="0"/>
                <w:numId w:val="41"/>
              </w:numPr>
              <w:spacing w:before="60" w:after="60"/>
              <w:rPr>
                <w:rFonts w:ascii="Calibri" w:hAnsi="Calibri"/>
              </w:rPr>
            </w:pPr>
            <w:r>
              <w:rPr>
                <w:rFonts w:ascii="Calibri" w:hAnsi="Calibri"/>
              </w:rPr>
              <w:t xml:space="preserve">Electronic tools (article #6) - </w:t>
            </w:r>
            <w:r w:rsidRPr="00983817">
              <w:rPr>
                <w:rFonts w:ascii="Calibri" w:hAnsi="Calibri"/>
              </w:rPr>
              <w:t xml:space="preserve">app for pediatric </w:t>
            </w:r>
            <w:r>
              <w:rPr>
                <w:rFonts w:ascii="Calibri" w:hAnsi="Calibri"/>
              </w:rPr>
              <w:t>setting</w:t>
            </w:r>
            <w:r w:rsidRPr="00983817">
              <w:rPr>
                <w:rFonts w:ascii="Calibri" w:hAnsi="Calibri"/>
              </w:rPr>
              <w:t>, but hasn’t been put into practice yet</w:t>
            </w:r>
          </w:p>
          <w:p w:rsidR="00F22D35" w:rsidRDefault="00F22D35" w:rsidP="005B66D6">
            <w:pPr>
              <w:pStyle w:val="ListParagraph"/>
              <w:numPr>
                <w:ilvl w:val="0"/>
                <w:numId w:val="40"/>
              </w:numPr>
              <w:spacing w:before="60" w:after="60"/>
              <w:rPr>
                <w:rFonts w:ascii="Calibri" w:hAnsi="Calibri"/>
              </w:rPr>
            </w:pPr>
            <w:r>
              <w:rPr>
                <w:rFonts w:ascii="Calibri" w:hAnsi="Calibri"/>
              </w:rPr>
              <w:t>Article #21- liver/kidney transplant recipients—gave learning goals every day to the patient/caregiver</w:t>
            </w:r>
          </w:p>
          <w:p w:rsidR="00F22D35" w:rsidRDefault="00F22D35" w:rsidP="005B66D6">
            <w:pPr>
              <w:pStyle w:val="ListParagraph"/>
              <w:numPr>
                <w:ilvl w:val="0"/>
                <w:numId w:val="40"/>
              </w:numPr>
              <w:spacing w:before="60" w:after="60"/>
              <w:rPr>
                <w:rFonts w:ascii="Calibri" w:hAnsi="Calibri"/>
              </w:rPr>
            </w:pPr>
            <w:r>
              <w:rPr>
                <w:rFonts w:ascii="Calibri" w:hAnsi="Calibri"/>
              </w:rPr>
              <w:t>Give personalized information</w:t>
            </w:r>
          </w:p>
          <w:p w:rsidR="00F22D35" w:rsidRDefault="00F22D35" w:rsidP="005B66D6">
            <w:pPr>
              <w:pStyle w:val="ListParagraph"/>
              <w:numPr>
                <w:ilvl w:val="0"/>
                <w:numId w:val="40"/>
              </w:numPr>
              <w:spacing w:before="60" w:after="60"/>
              <w:rPr>
                <w:rFonts w:ascii="Calibri" w:hAnsi="Calibri"/>
              </w:rPr>
            </w:pPr>
            <w:r>
              <w:rPr>
                <w:rFonts w:ascii="Calibri" w:hAnsi="Calibri"/>
              </w:rPr>
              <w:t>65+ populations—statistics need to be adapted to the age of the patient you are working with</w:t>
            </w:r>
          </w:p>
          <w:p w:rsidR="00F22D35" w:rsidRDefault="00F22D35" w:rsidP="005B66D6">
            <w:pPr>
              <w:pStyle w:val="ListParagraph"/>
              <w:numPr>
                <w:ilvl w:val="0"/>
                <w:numId w:val="40"/>
              </w:numPr>
              <w:spacing w:before="60" w:after="60"/>
              <w:rPr>
                <w:rFonts w:ascii="Calibri" w:hAnsi="Calibri"/>
              </w:rPr>
            </w:pPr>
            <w:r>
              <w:rPr>
                <w:rFonts w:ascii="Calibri" w:hAnsi="Calibri"/>
              </w:rPr>
              <w:t xml:space="preserve">Health belief model </w:t>
            </w:r>
          </w:p>
          <w:p w:rsidR="00F22D35" w:rsidRDefault="00F22D35" w:rsidP="005B66D6">
            <w:pPr>
              <w:pStyle w:val="ListParagraph"/>
              <w:numPr>
                <w:ilvl w:val="0"/>
                <w:numId w:val="40"/>
              </w:numPr>
              <w:spacing w:before="60" w:after="60"/>
              <w:rPr>
                <w:rFonts w:ascii="Calibri" w:hAnsi="Calibri"/>
              </w:rPr>
            </w:pPr>
            <w:r>
              <w:rPr>
                <w:rFonts w:ascii="Calibri" w:hAnsi="Calibri"/>
              </w:rPr>
              <w:t>3 learning styles—visual, auditory, and kinesthetic all need to be addressed, and find out what kind of learners your patients and caregivers are</w:t>
            </w:r>
          </w:p>
          <w:p w:rsidR="00F22D35" w:rsidRDefault="00F22D35" w:rsidP="005B66D6">
            <w:pPr>
              <w:pStyle w:val="ListParagraph"/>
              <w:numPr>
                <w:ilvl w:val="0"/>
                <w:numId w:val="40"/>
              </w:numPr>
              <w:spacing w:before="60" w:after="60"/>
              <w:rPr>
                <w:rFonts w:ascii="Calibri" w:hAnsi="Calibri"/>
              </w:rPr>
            </w:pPr>
            <w:r>
              <w:rPr>
                <w:rFonts w:ascii="Calibri" w:hAnsi="Calibri"/>
              </w:rPr>
              <w:t>Videos to address the 3 learning styles— able to re-watch videos</w:t>
            </w:r>
          </w:p>
          <w:p w:rsidR="00F22D35" w:rsidRDefault="00F22D35" w:rsidP="005B66D6">
            <w:pPr>
              <w:pStyle w:val="ListParagraph"/>
              <w:numPr>
                <w:ilvl w:val="0"/>
                <w:numId w:val="40"/>
              </w:numPr>
              <w:spacing w:before="60" w:after="60"/>
              <w:rPr>
                <w:rFonts w:ascii="Calibri" w:hAnsi="Calibri"/>
              </w:rPr>
            </w:pPr>
            <w:r>
              <w:rPr>
                <w:rFonts w:ascii="Calibri" w:hAnsi="Calibri"/>
              </w:rPr>
              <w:t>Warning against organizing large group education sessions—so many variables with BMT patients, you don’t wa</w:t>
            </w:r>
            <w:bookmarkStart w:id="0" w:name="_GoBack"/>
            <w:bookmarkEnd w:id="0"/>
            <w:r>
              <w:rPr>
                <w:rFonts w:ascii="Calibri" w:hAnsi="Calibri"/>
              </w:rPr>
              <w:t xml:space="preserve">nt to spend time addressing needs that don’t apply to you </w:t>
            </w:r>
          </w:p>
          <w:p w:rsidR="00F22D35" w:rsidRDefault="00F22D35" w:rsidP="005B66D6">
            <w:pPr>
              <w:pStyle w:val="ListParagraph"/>
              <w:numPr>
                <w:ilvl w:val="0"/>
                <w:numId w:val="40"/>
              </w:numPr>
              <w:spacing w:before="60" w:after="60"/>
              <w:rPr>
                <w:rFonts w:ascii="Calibri" w:hAnsi="Calibri"/>
              </w:rPr>
            </w:pPr>
            <w:r>
              <w:rPr>
                <w:rFonts w:ascii="Calibri" w:hAnsi="Calibri"/>
              </w:rPr>
              <w:t>Issue with cost of hardware and development of tools</w:t>
            </w:r>
          </w:p>
          <w:p w:rsidR="00F22D35" w:rsidRDefault="00F22D35" w:rsidP="005B66D6">
            <w:pPr>
              <w:pStyle w:val="ListParagraph"/>
              <w:numPr>
                <w:ilvl w:val="0"/>
                <w:numId w:val="40"/>
              </w:numPr>
              <w:spacing w:before="60" w:after="60"/>
              <w:rPr>
                <w:rFonts w:ascii="Calibri" w:hAnsi="Calibri"/>
              </w:rPr>
            </w:pPr>
            <w:r w:rsidRPr="00D05FF6">
              <w:rPr>
                <w:rFonts w:ascii="Calibri" w:hAnsi="Calibri"/>
                <w:b/>
              </w:rPr>
              <w:t>Research</w:t>
            </w:r>
            <w:r>
              <w:rPr>
                <w:rFonts w:ascii="Calibri" w:hAnsi="Calibri"/>
              </w:rPr>
              <w:t xml:space="preserve"> </w:t>
            </w:r>
            <w:r w:rsidRPr="00D05FF6">
              <w:rPr>
                <w:rFonts w:ascii="Calibri" w:hAnsi="Calibri"/>
                <w:b/>
              </w:rPr>
              <w:t>questions:</w:t>
            </w:r>
            <w:r>
              <w:rPr>
                <w:rFonts w:ascii="Calibri" w:hAnsi="Calibri"/>
              </w:rPr>
              <w:t xml:space="preserve"> </w:t>
            </w:r>
          </w:p>
          <w:p w:rsidR="00F22D35" w:rsidRDefault="00F22D35" w:rsidP="00D05FF6">
            <w:pPr>
              <w:pStyle w:val="ListParagraph"/>
              <w:spacing w:before="60" w:after="60"/>
              <w:rPr>
                <w:rFonts w:ascii="Calibri" w:hAnsi="Calibri"/>
              </w:rPr>
            </w:pPr>
            <w:r>
              <w:rPr>
                <w:rFonts w:ascii="Calibri" w:hAnsi="Calibri"/>
              </w:rPr>
              <w:t>-Compare conventional education material with patient specific education</w:t>
            </w:r>
          </w:p>
          <w:p w:rsidR="00F22D35" w:rsidRDefault="00F22D35" w:rsidP="00D05FF6">
            <w:pPr>
              <w:pStyle w:val="ListParagraph"/>
              <w:spacing w:before="60" w:after="60"/>
              <w:rPr>
                <w:rFonts w:ascii="Calibri" w:hAnsi="Calibri"/>
              </w:rPr>
            </w:pPr>
            <w:r>
              <w:rPr>
                <w:rFonts w:ascii="Calibri" w:hAnsi="Calibri"/>
              </w:rPr>
              <w:t>-Compare educational needs by age groups (article #78)</w:t>
            </w:r>
          </w:p>
          <w:p w:rsidR="00F22D35" w:rsidRDefault="00F22D35" w:rsidP="00D05FF6">
            <w:pPr>
              <w:pStyle w:val="ListParagraph"/>
              <w:spacing w:before="60" w:after="60"/>
              <w:rPr>
                <w:rFonts w:ascii="Calibri" w:hAnsi="Calibri"/>
              </w:rPr>
            </w:pPr>
            <w:r>
              <w:rPr>
                <w:rFonts w:ascii="Calibri" w:hAnsi="Calibri"/>
              </w:rPr>
              <w:t>-Assess patients/caregivers for learning style; give adapted education material &amp; compare outcomes</w:t>
            </w:r>
          </w:p>
          <w:p w:rsidR="00F22D35" w:rsidRDefault="00F22D35" w:rsidP="00587589">
            <w:pPr>
              <w:pStyle w:val="ListParagraph"/>
              <w:numPr>
                <w:ilvl w:val="0"/>
                <w:numId w:val="40"/>
              </w:numPr>
              <w:spacing w:before="60" w:after="60"/>
              <w:rPr>
                <w:rFonts w:ascii="Calibri" w:hAnsi="Calibri"/>
              </w:rPr>
            </w:pPr>
            <w:r w:rsidRPr="008E5A9A">
              <w:rPr>
                <w:rFonts w:ascii="Calibri" w:hAnsi="Calibri"/>
                <w:b/>
              </w:rPr>
              <w:lastRenderedPageBreak/>
              <w:t>What Resonated?</w:t>
            </w:r>
            <w:r w:rsidRPr="008E5A9A">
              <w:rPr>
                <w:rFonts w:ascii="Calibri" w:hAnsi="Calibri"/>
              </w:rPr>
              <w:t xml:space="preserve"> Interesting to think about other ways to get information to people—not everyone is equal in amount of information they already know. Good idea to take your time, repeat information and do problem solving activities. We need to look at different needs related to different ages and lifestyles. </w:t>
            </w:r>
          </w:p>
          <w:p w:rsidR="00F22D35" w:rsidRDefault="00F22D35" w:rsidP="00461488">
            <w:pPr>
              <w:pStyle w:val="ListParagraph"/>
              <w:numPr>
                <w:ilvl w:val="0"/>
                <w:numId w:val="40"/>
              </w:numPr>
              <w:spacing w:before="60" w:after="60"/>
              <w:rPr>
                <w:rFonts w:ascii="Calibri" w:hAnsi="Calibri"/>
              </w:rPr>
            </w:pPr>
            <w:r w:rsidRPr="008E5A9A">
              <w:rPr>
                <w:rFonts w:ascii="Calibri" w:hAnsi="Calibri"/>
              </w:rPr>
              <w:t xml:space="preserve">Solid organ transplant </w:t>
            </w:r>
            <w:r>
              <w:rPr>
                <w:rFonts w:ascii="Calibri" w:hAnsi="Calibri"/>
              </w:rPr>
              <w:t xml:space="preserve">is </w:t>
            </w:r>
            <w:r w:rsidRPr="008E5A9A">
              <w:rPr>
                <w:rFonts w:ascii="Calibri" w:hAnsi="Calibri"/>
              </w:rPr>
              <w:t>very different</w:t>
            </w:r>
            <w:r>
              <w:rPr>
                <w:rFonts w:ascii="Calibri" w:hAnsi="Calibri"/>
              </w:rPr>
              <w:t>. Educational needs are very different for</w:t>
            </w:r>
            <w:r w:rsidRPr="008E5A9A">
              <w:rPr>
                <w:rFonts w:ascii="Calibri" w:hAnsi="Calibri"/>
              </w:rPr>
              <w:t xml:space="preserve"> </w:t>
            </w:r>
            <w:r>
              <w:rPr>
                <w:rFonts w:ascii="Calibri" w:hAnsi="Calibri"/>
              </w:rPr>
              <w:t>BMT</w:t>
            </w:r>
          </w:p>
          <w:p w:rsidR="00F22D35" w:rsidRPr="00F22D35" w:rsidRDefault="00F22D35" w:rsidP="00F22D35">
            <w:pPr>
              <w:pStyle w:val="ListParagraph"/>
              <w:numPr>
                <w:ilvl w:val="0"/>
                <w:numId w:val="40"/>
              </w:numPr>
              <w:spacing w:before="60" w:after="60"/>
              <w:rPr>
                <w:rFonts w:ascii="Calibri" w:hAnsi="Calibri"/>
              </w:rPr>
            </w:pPr>
            <w:r w:rsidRPr="00F22D35">
              <w:rPr>
                <w:rFonts w:ascii="Calibri" w:hAnsi="Calibri"/>
              </w:rPr>
              <w:t xml:space="preserve">Is there research on the benefits of mental health services for BMT patients and their caregivers? Could improve people’s ability to heal and cope with treatment. Margaret stated there is research and work </w:t>
            </w:r>
            <w:r>
              <w:rPr>
                <w:rFonts w:ascii="Calibri" w:hAnsi="Calibri"/>
              </w:rPr>
              <w:t>in this area</w:t>
            </w:r>
            <w:r w:rsidRPr="00F22D35">
              <w:rPr>
                <w:rFonts w:ascii="Calibri" w:hAnsi="Calibri"/>
              </w:rPr>
              <w:t>, and we have enough evidence to suggest this should be standard practice.</w:t>
            </w:r>
          </w:p>
        </w:tc>
      </w:tr>
      <w:tr w:rsidR="00F22D35" w:rsidRPr="009F5BF6" w:rsidTr="00F22D35">
        <w:trPr>
          <w:trHeight w:val="210"/>
        </w:trPr>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Pr>
                <w:rFonts w:ascii="Calibri" w:hAnsi="Calibri"/>
              </w:rPr>
              <w:lastRenderedPageBreak/>
              <w:t>Share Findings</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F22D35" w:rsidP="00461488">
            <w:pPr>
              <w:spacing w:before="60" w:after="60"/>
              <w:jc w:val="center"/>
              <w:rPr>
                <w:rFonts w:ascii="Calibri" w:hAnsi="Calibri"/>
              </w:rPr>
            </w:pPr>
            <w:r>
              <w:rPr>
                <w:rFonts w:ascii="Calibri" w:hAnsi="Calibri"/>
              </w:rPr>
              <w:t>Margaret &amp; Cindy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461488">
            <w:pPr>
              <w:spacing w:before="60" w:after="60"/>
              <w:jc w:val="center"/>
              <w:rPr>
                <w:rFonts w:ascii="Calibri" w:hAnsi="Calibri"/>
              </w:rPr>
            </w:pPr>
            <w:r>
              <w:rPr>
                <w:rFonts w:ascii="Calibri" w:hAnsi="Calibri"/>
              </w:rPr>
              <w:t>15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Default="00F22D35" w:rsidP="00685AB7">
            <w:pPr>
              <w:pStyle w:val="ListParagraph"/>
              <w:numPr>
                <w:ilvl w:val="0"/>
                <w:numId w:val="35"/>
              </w:numPr>
              <w:spacing w:before="60" w:after="60"/>
              <w:rPr>
                <w:rFonts w:ascii="Calibri" w:hAnsi="Calibri"/>
              </w:rPr>
            </w:pPr>
            <w:r>
              <w:rPr>
                <w:rFonts w:ascii="Calibri" w:hAnsi="Calibri"/>
              </w:rPr>
              <w:t>The articles were more on the early side of research</w:t>
            </w:r>
          </w:p>
          <w:p w:rsidR="00F22D35" w:rsidRDefault="00F22D35" w:rsidP="00685AB7">
            <w:pPr>
              <w:pStyle w:val="ListParagraph"/>
              <w:numPr>
                <w:ilvl w:val="0"/>
                <w:numId w:val="35"/>
              </w:numPr>
              <w:spacing w:before="60" w:after="60"/>
              <w:rPr>
                <w:rFonts w:ascii="Calibri" w:hAnsi="Calibri"/>
              </w:rPr>
            </w:pPr>
            <w:r>
              <w:rPr>
                <w:rFonts w:ascii="Calibri" w:hAnsi="Calibri"/>
              </w:rPr>
              <w:t>Many resources available were pamphlet type resources with online resources available</w:t>
            </w:r>
          </w:p>
          <w:p w:rsidR="00F22D35" w:rsidRDefault="00F22D35" w:rsidP="00685AB7">
            <w:pPr>
              <w:pStyle w:val="ListParagraph"/>
              <w:numPr>
                <w:ilvl w:val="0"/>
                <w:numId w:val="35"/>
              </w:numPr>
              <w:spacing w:before="60" w:after="60"/>
              <w:rPr>
                <w:rFonts w:ascii="Calibri" w:hAnsi="Calibri"/>
              </w:rPr>
            </w:pPr>
            <w:r>
              <w:rPr>
                <w:rFonts w:ascii="Calibri" w:hAnsi="Calibri"/>
              </w:rPr>
              <w:t>Need information available not only by hard copy, but online as well</w:t>
            </w:r>
          </w:p>
          <w:p w:rsidR="00F22D35" w:rsidRDefault="00F22D35" w:rsidP="00685AB7">
            <w:pPr>
              <w:pStyle w:val="ListParagraph"/>
              <w:numPr>
                <w:ilvl w:val="0"/>
                <w:numId w:val="35"/>
              </w:numPr>
              <w:spacing w:before="60" w:after="60"/>
              <w:rPr>
                <w:rFonts w:ascii="Calibri" w:hAnsi="Calibri"/>
              </w:rPr>
            </w:pPr>
            <w:r>
              <w:rPr>
                <w:rFonts w:ascii="Calibri" w:hAnsi="Calibri"/>
              </w:rPr>
              <w:t>Communicating/documenting/tracking the education experience (not always a healthcare provider providing information)</w:t>
            </w:r>
          </w:p>
          <w:p w:rsidR="00F22D35" w:rsidRDefault="00F22D35" w:rsidP="00685AB7">
            <w:pPr>
              <w:pStyle w:val="ListParagraph"/>
              <w:numPr>
                <w:ilvl w:val="0"/>
                <w:numId w:val="35"/>
              </w:numPr>
              <w:spacing w:before="60" w:after="60"/>
              <w:rPr>
                <w:rFonts w:ascii="Calibri" w:hAnsi="Calibri"/>
              </w:rPr>
            </w:pPr>
            <w:r>
              <w:rPr>
                <w:rFonts w:ascii="Calibri" w:hAnsi="Calibri"/>
              </w:rPr>
              <w:t xml:space="preserve">Coping styles/literacy is important to understand—need a way to assess patients and caregivers as we start the education process (individual needs, </w:t>
            </w:r>
            <w:proofErr w:type="spellStart"/>
            <w:r>
              <w:rPr>
                <w:rFonts w:ascii="Calibri" w:hAnsi="Calibri"/>
              </w:rPr>
              <w:t>etc</w:t>
            </w:r>
            <w:proofErr w:type="spellEnd"/>
            <w:r>
              <w:rPr>
                <w:rFonts w:ascii="Calibri" w:hAnsi="Calibri"/>
              </w:rPr>
              <w:t>) to learn if it’s a literacy issue, or a timing issue</w:t>
            </w:r>
          </w:p>
          <w:p w:rsidR="00F22D35" w:rsidRDefault="00F22D35" w:rsidP="00685AB7">
            <w:pPr>
              <w:pStyle w:val="ListParagraph"/>
              <w:numPr>
                <w:ilvl w:val="0"/>
                <w:numId w:val="35"/>
              </w:numPr>
              <w:spacing w:before="60" w:after="60"/>
              <w:rPr>
                <w:rFonts w:ascii="Calibri" w:hAnsi="Calibri"/>
              </w:rPr>
            </w:pPr>
            <w:r>
              <w:rPr>
                <w:rFonts w:ascii="Calibri" w:hAnsi="Calibri"/>
              </w:rPr>
              <w:t xml:space="preserve">BMT is so different than other transplants. It’s two </w:t>
            </w:r>
            <w:r>
              <w:rPr>
                <w:rFonts w:ascii="Calibri" w:hAnsi="Calibri"/>
              </w:rPr>
              <w:t xml:space="preserve">steps forward, and </w:t>
            </w:r>
            <w:r>
              <w:rPr>
                <w:rFonts w:ascii="Calibri" w:hAnsi="Calibri"/>
              </w:rPr>
              <w:t xml:space="preserve">one step backwards. This needs to be validated at every single appointment </w:t>
            </w:r>
          </w:p>
          <w:p w:rsidR="00F22D35" w:rsidRDefault="00F22D35" w:rsidP="00685AB7">
            <w:pPr>
              <w:pStyle w:val="ListParagraph"/>
              <w:numPr>
                <w:ilvl w:val="0"/>
                <w:numId w:val="35"/>
              </w:numPr>
              <w:spacing w:before="60" w:after="60"/>
              <w:rPr>
                <w:rFonts w:ascii="Calibri" w:hAnsi="Calibri"/>
              </w:rPr>
            </w:pPr>
            <w:r>
              <w:rPr>
                <w:rFonts w:ascii="Calibri" w:hAnsi="Calibri"/>
              </w:rPr>
              <w:t>Discharge planning should be done by all people involved in your care and treatment—need to do ongoing assessments every time there is a visit, and should be required</w:t>
            </w:r>
          </w:p>
          <w:p w:rsidR="00F22D35" w:rsidRDefault="00F22D35" w:rsidP="00685AB7">
            <w:pPr>
              <w:pStyle w:val="ListParagraph"/>
              <w:numPr>
                <w:ilvl w:val="0"/>
                <w:numId w:val="35"/>
              </w:numPr>
              <w:spacing w:before="60" w:after="60"/>
              <w:rPr>
                <w:rFonts w:ascii="Calibri" w:hAnsi="Calibri"/>
              </w:rPr>
            </w:pPr>
            <w:r>
              <w:rPr>
                <w:rFonts w:ascii="Calibri" w:hAnsi="Calibri"/>
              </w:rPr>
              <w:t>Not enough information on survivorship studies (issues of non-compliance, person gets sick)</w:t>
            </w:r>
          </w:p>
          <w:p w:rsidR="00F22D35" w:rsidRDefault="00F22D35" w:rsidP="00685AB7">
            <w:pPr>
              <w:pStyle w:val="ListParagraph"/>
              <w:numPr>
                <w:ilvl w:val="0"/>
                <w:numId w:val="35"/>
              </w:numPr>
              <w:spacing w:before="60" w:after="60"/>
              <w:rPr>
                <w:rFonts w:ascii="Calibri" w:hAnsi="Calibri"/>
              </w:rPr>
            </w:pPr>
            <w:r>
              <w:rPr>
                <w:rFonts w:ascii="Calibri" w:hAnsi="Calibri"/>
              </w:rPr>
              <w:t>Need studies evaluating age specific educational strategies</w:t>
            </w:r>
          </w:p>
          <w:p w:rsidR="00F22D35" w:rsidRDefault="00F22D35" w:rsidP="00685AB7">
            <w:pPr>
              <w:pStyle w:val="ListParagraph"/>
              <w:numPr>
                <w:ilvl w:val="0"/>
                <w:numId w:val="35"/>
              </w:numPr>
              <w:spacing w:before="60" w:after="60"/>
              <w:rPr>
                <w:rFonts w:ascii="Calibri" w:hAnsi="Calibri"/>
              </w:rPr>
            </w:pPr>
            <w:r>
              <w:rPr>
                <w:rFonts w:ascii="Calibri" w:hAnsi="Calibri"/>
              </w:rPr>
              <w:t>Inspire model: developed specific survivorship content and then pilot tested at multiple sites. There are more recent papers about this model that Margaret will find.</w:t>
            </w:r>
          </w:p>
          <w:p w:rsidR="00F22D35" w:rsidRPr="00475359" w:rsidRDefault="00F22D35" w:rsidP="00685AB7">
            <w:pPr>
              <w:pStyle w:val="ListParagraph"/>
              <w:numPr>
                <w:ilvl w:val="0"/>
                <w:numId w:val="35"/>
              </w:numPr>
              <w:spacing w:before="60" w:after="60"/>
              <w:rPr>
                <w:rFonts w:ascii="Calibri" w:hAnsi="Calibri"/>
                <w:b/>
              </w:rPr>
            </w:pPr>
            <w:r w:rsidRPr="00475359">
              <w:rPr>
                <w:rFonts w:ascii="Calibri" w:hAnsi="Calibri"/>
                <w:b/>
              </w:rPr>
              <w:t>Questions:</w:t>
            </w:r>
          </w:p>
          <w:p w:rsidR="00F22D35" w:rsidRDefault="00F22D35" w:rsidP="00475359">
            <w:pPr>
              <w:pStyle w:val="ListParagraph"/>
              <w:spacing w:before="60" w:after="60"/>
              <w:rPr>
                <w:rFonts w:ascii="Calibri" w:hAnsi="Calibri"/>
              </w:rPr>
            </w:pPr>
            <w:r>
              <w:rPr>
                <w:rFonts w:ascii="Calibri" w:hAnsi="Calibri"/>
              </w:rPr>
              <w:t>-Compare how to provide info to different age groups</w:t>
            </w:r>
          </w:p>
          <w:p w:rsidR="00F22D35" w:rsidRDefault="00F22D35" w:rsidP="00475359">
            <w:pPr>
              <w:pStyle w:val="ListParagraph"/>
              <w:spacing w:before="60" w:after="60"/>
              <w:rPr>
                <w:rFonts w:ascii="Calibri" w:hAnsi="Calibri"/>
              </w:rPr>
            </w:pPr>
            <w:r>
              <w:rPr>
                <w:rFonts w:ascii="Calibri" w:hAnsi="Calibri"/>
              </w:rPr>
              <w:t>-How to educate on emotional support</w:t>
            </w:r>
          </w:p>
          <w:p w:rsidR="00F22D35" w:rsidRDefault="00F22D35" w:rsidP="00475359">
            <w:pPr>
              <w:pStyle w:val="ListParagraph"/>
              <w:spacing w:before="60" w:after="60"/>
              <w:rPr>
                <w:rFonts w:ascii="Calibri" w:hAnsi="Calibri"/>
              </w:rPr>
            </w:pPr>
            <w:r>
              <w:rPr>
                <w:rFonts w:ascii="Calibri" w:hAnsi="Calibri"/>
              </w:rPr>
              <w:t>-How is the patient/caregiver absorbing the information?</w:t>
            </w:r>
          </w:p>
          <w:p w:rsidR="00F22D35" w:rsidRDefault="00F22D35" w:rsidP="00D8402D">
            <w:pPr>
              <w:pStyle w:val="ListParagraph"/>
              <w:spacing w:before="60" w:after="60"/>
              <w:rPr>
                <w:rFonts w:ascii="Calibri" w:hAnsi="Calibri"/>
              </w:rPr>
            </w:pPr>
            <w:r>
              <w:rPr>
                <w:rFonts w:ascii="Calibri" w:hAnsi="Calibri"/>
              </w:rPr>
              <w:t>-Are there readiness assessment tools?</w:t>
            </w:r>
          </w:p>
          <w:p w:rsidR="00F22D35" w:rsidRDefault="00F22D35" w:rsidP="00D8402D">
            <w:pPr>
              <w:pStyle w:val="ListParagraph"/>
              <w:spacing w:before="60" w:after="60"/>
              <w:rPr>
                <w:rFonts w:ascii="Calibri" w:hAnsi="Calibri"/>
              </w:rPr>
            </w:pPr>
            <w:r>
              <w:rPr>
                <w:rFonts w:ascii="Calibri" w:hAnsi="Calibri"/>
              </w:rPr>
              <w:t>-How to collect patient/caregiver experience and questions and integrating into EMR?</w:t>
            </w:r>
          </w:p>
          <w:p w:rsidR="00F22D35" w:rsidRPr="00983817" w:rsidRDefault="00F22D35" w:rsidP="00F22D35">
            <w:pPr>
              <w:pStyle w:val="ListParagraph"/>
              <w:spacing w:before="60" w:after="60"/>
              <w:rPr>
                <w:rFonts w:ascii="Calibri" w:hAnsi="Calibri"/>
              </w:rPr>
            </w:pPr>
            <w:r>
              <w:rPr>
                <w:rFonts w:ascii="Calibri" w:hAnsi="Calibri"/>
              </w:rPr>
              <w:t>-Need to provide mental health support for the caregivers</w:t>
            </w:r>
          </w:p>
        </w:tc>
      </w:tr>
      <w:tr w:rsidR="00F22D35" w:rsidRPr="009F5BF6" w:rsidTr="00F22D35">
        <w:tc>
          <w:tcPr>
            <w:tcW w:w="1684" w:type="dxa"/>
            <w:tcBorders>
              <w:top w:val="single" w:sz="6" w:space="0" w:color="auto"/>
              <w:left w:val="single" w:sz="6" w:space="0" w:color="auto"/>
              <w:bottom w:val="single" w:sz="6" w:space="0" w:color="auto"/>
              <w:right w:val="single" w:sz="6" w:space="0" w:color="auto"/>
            </w:tcBorders>
          </w:tcPr>
          <w:p w:rsidR="00F22D35" w:rsidRDefault="00F22D35" w:rsidP="00461488">
            <w:pPr>
              <w:spacing w:before="60" w:after="60"/>
              <w:rPr>
                <w:rFonts w:ascii="Calibri" w:hAnsi="Calibri"/>
              </w:rPr>
            </w:pPr>
            <w:r>
              <w:rPr>
                <w:rFonts w:ascii="Calibri" w:hAnsi="Calibri"/>
              </w:rPr>
              <w:t>Next steps</w:t>
            </w:r>
          </w:p>
        </w:tc>
        <w:tc>
          <w:tcPr>
            <w:tcW w:w="1350" w:type="dxa"/>
            <w:tcBorders>
              <w:top w:val="single" w:sz="6" w:space="0" w:color="auto"/>
              <w:left w:val="single" w:sz="6" w:space="0" w:color="auto"/>
              <w:bottom w:val="single" w:sz="6" w:space="0" w:color="auto"/>
              <w:right w:val="single" w:sz="4" w:space="0" w:color="auto"/>
            </w:tcBorders>
          </w:tcPr>
          <w:p w:rsidR="00F22D35" w:rsidRDefault="00F22D35" w:rsidP="00461488">
            <w:pPr>
              <w:spacing w:before="60" w:after="60"/>
              <w:jc w:val="center"/>
              <w:rPr>
                <w:rFonts w:ascii="Calibri" w:hAnsi="Calibri"/>
              </w:rPr>
            </w:pPr>
            <w:r>
              <w:rPr>
                <w:rFonts w:ascii="Calibri" w:hAnsi="Calibri"/>
              </w:rPr>
              <w:t>Alva/Kim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461488">
            <w:pPr>
              <w:spacing w:before="60" w:after="60"/>
              <w:jc w:val="center"/>
              <w:rPr>
                <w:rFonts w:ascii="Calibri" w:hAnsi="Calibri"/>
              </w:rPr>
            </w:pPr>
            <w:r>
              <w:rPr>
                <w:rFonts w:ascii="Calibri" w:hAnsi="Calibri"/>
              </w:rPr>
              <w:t>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685AB7" w:rsidRDefault="00F22D35" w:rsidP="00D8402D">
            <w:pPr>
              <w:pStyle w:val="ListParagraph"/>
              <w:spacing w:before="60" w:after="60"/>
              <w:ind w:left="342"/>
              <w:rPr>
                <w:rFonts w:ascii="Calibri" w:hAnsi="Calibri"/>
              </w:rPr>
            </w:pPr>
            <w:r>
              <w:rPr>
                <w:rFonts w:ascii="Calibri" w:hAnsi="Calibri"/>
              </w:rPr>
              <w:t xml:space="preserve">Will schedule another call mid-September. </w:t>
            </w:r>
          </w:p>
        </w:tc>
      </w:tr>
      <w:tr w:rsidR="00F22D35" w:rsidRPr="009F5BF6" w:rsidTr="00F22D35">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sidRPr="00EA52E9">
              <w:rPr>
                <w:rFonts w:ascii="Calibri" w:hAnsi="Calibri"/>
              </w:rPr>
              <w:lastRenderedPageBreak/>
              <w:t>Summary of tasks and next steps</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F22D35" w:rsidP="00461488">
            <w:pPr>
              <w:spacing w:before="60" w:after="60"/>
              <w:jc w:val="center"/>
              <w:rPr>
                <w:rFonts w:ascii="Calibri" w:hAnsi="Calibri"/>
              </w:rPr>
            </w:pPr>
            <w:r w:rsidRPr="00EA52E9">
              <w:rPr>
                <w:rFonts w:ascii="Calibri" w:hAnsi="Calibri"/>
              </w:rPr>
              <w:t>Kate Houg</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461488">
            <w:pPr>
              <w:spacing w:before="60" w:after="60"/>
              <w:jc w:val="center"/>
              <w:rPr>
                <w:rFonts w:ascii="Calibri" w:hAnsi="Calibri"/>
              </w:rPr>
            </w:pPr>
            <w:r w:rsidRPr="00EA52E9">
              <w:rPr>
                <w:rFonts w:ascii="Calibri" w:hAnsi="Calibri"/>
              </w:rPr>
              <w:t>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D245ED" w:rsidRDefault="00F22D35" w:rsidP="00705458">
            <w:pPr>
              <w:pStyle w:val="ListParagraph"/>
              <w:spacing w:before="60" w:after="60"/>
              <w:ind w:left="342"/>
              <w:rPr>
                <w:rFonts w:ascii="Calibri" w:hAnsi="Calibri"/>
              </w:rPr>
            </w:pPr>
            <w:r>
              <w:rPr>
                <w:rFonts w:ascii="Calibri" w:hAnsi="Calibri"/>
              </w:rPr>
              <w:t>Website for our working group</w:t>
            </w:r>
            <w:r>
              <w:rPr>
                <w:rFonts w:cs="Times"/>
                <w:sz w:val="20"/>
                <w:szCs w:val="20"/>
              </w:rPr>
              <w:t xml:space="preserve">: </w:t>
            </w:r>
            <w:hyperlink r:id="rId8" w:history="1">
              <w:r w:rsidRPr="00B31B8B">
                <w:rPr>
                  <w:rStyle w:val="Hyperlink"/>
                  <w:rFonts w:cs="Times"/>
                  <w:sz w:val="20"/>
                  <w:szCs w:val="20"/>
                </w:rPr>
                <w:t>https://network.bethematchclinical.org/research/research-protocols/patient-centered-research-agenda/patient--caregiver-and-family-education-and-support/</w:t>
              </w:r>
            </w:hyperlink>
          </w:p>
        </w:tc>
      </w:tr>
    </w:tbl>
    <w:p w:rsidR="005E76B1" w:rsidRDefault="005E76B1"/>
    <w:p w:rsidR="00A96EB5" w:rsidRPr="003D6904" w:rsidRDefault="00A96EB5" w:rsidP="00B46C45">
      <w:pPr>
        <w:rPr>
          <w:rFonts w:cs="Arial"/>
          <w:szCs w:val="22"/>
        </w:rPr>
      </w:pPr>
    </w:p>
    <w:sectPr w:rsidR="00A96EB5" w:rsidRPr="003D6904" w:rsidSect="00093D16">
      <w:headerReference w:type="default" r:id="rId9"/>
      <w:footerReference w:type="default" r:id="rId10"/>
      <w:pgSz w:w="15840" w:h="12240" w:orient="landscape" w:code="1"/>
      <w:pgMar w:top="720" w:right="2016" w:bottom="63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4" w:rsidRDefault="00B22824">
      <w:r>
        <w:separator/>
      </w:r>
    </w:p>
  </w:endnote>
  <w:endnote w:type="continuationSeparator" w:id="0">
    <w:p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rsidR="000E10A5" w:rsidRPr="000E10A5" w:rsidRDefault="000E10A5" w:rsidP="00E900DF">
    <w:pPr>
      <w:pStyle w:val="Default"/>
      <w:rPr>
        <w:rFonts w:ascii="Arial" w:hAnsi="Arial" w:cs="Arial"/>
        <w:sz w:val="20"/>
        <w:szCs w:val="20"/>
      </w:rPr>
    </w:pPr>
  </w:p>
  <w:p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4" w:rsidRDefault="00B22824">
      <w:r>
        <w:separator/>
      </w:r>
    </w:p>
  </w:footnote>
  <w:footnote w:type="continuationSeparator" w:id="0">
    <w:p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EC" w:rsidRDefault="004B07EC" w:rsidP="003D02F0">
    <w:r>
      <w:tab/>
    </w:r>
    <w:r>
      <w:tab/>
    </w:r>
    <w:r>
      <w:tab/>
    </w:r>
    <w:r>
      <w:tab/>
    </w:r>
    <w:r>
      <w:tab/>
      <w:t xml:space="preserve">      </w:t>
    </w:r>
  </w:p>
  <w:p w:rsidR="00A06376" w:rsidRDefault="00A06376" w:rsidP="00A06376">
    <w:pPr>
      <w:spacing w:line="389" w:lineRule="exact"/>
      <w:ind w:left="20"/>
      <w:jc w:val="right"/>
      <w:rPr>
        <w:rFonts w:ascii="Arial" w:hAnsi="Arial" w:cs="Arial"/>
        <w:b/>
        <w:color w:val="B4BE35"/>
        <w:spacing w:val="-1"/>
        <w:sz w:val="34"/>
        <w:szCs w:val="34"/>
      </w:rPr>
    </w:pPr>
  </w:p>
  <w:p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091BC29" wp14:editId="66D2B009">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116C5363" wp14:editId="01E3795F">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3074C60C" wp14:editId="0ADE95A0">
          <wp:simplePos x="0" y="0"/>
          <wp:positionH relativeFrom="margin">
            <wp:posOffset>0</wp:posOffset>
          </wp:positionH>
          <wp:positionV relativeFrom="page">
            <wp:posOffset>352425</wp:posOffset>
          </wp:positionV>
          <wp:extent cx="2057400" cy="50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E83"/>
    <w:multiLevelType w:val="hybridMultilevel"/>
    <w:tmpl w:val="9FA8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4702"/>
    <w:multiLevelType w:val="hybridMultilevel"/>
    <w:tmpl w:val="7BA4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E7E38"/>
    <w:multiLevelType w:val="hybridMultilevel"/>
    <w:tmpl w:val="EFD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1B1562"/>
    <w:multiLevelType w:val="hybridMultilevel"/>
    <w:tmpl w:val="69B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D686F"/>
    <w:multiLevelType w:val="hybridMultilevel"/>
    <w:tmpl w:val="835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AE7096"/>
    <w:multiLevelType w:val="hybridMultilevel"/>
    <w:tmpl w:val="F304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241BF"/>
    <w:multiLevelType w:val="hybridMultilevel"/>
    <w:tmpl w:val="E434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61C18"/>
    <w:multiLevelType w:val="hybridMultilevel"/>
    <w:tmpl w:val="15E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24"/>
  </w:num>
  <w:num w:numId="4">
    <w:abstractNumId w:val="7"/>
  </w:num>
  <w:num w:numId="5">
    <w:abstractNumId w:val="25"/>
  </w:num>
  <w:num w:numId="6">
    <w:abstractNumId w:val="10"/>
  </w:num>
  <w:num w:numId="7">
    <w:abstractNumId w:val="23"/>
  </w:num>
  <w:num w:numId="8">
    <w:abstractNumId w:val="26"/>
  </w:num>
  <w:num w:numId="9">
    <w:abstractNumId w:val="12"/>
  </w:num>
  <w:num w:numId="10">
    <w:abstractNumId w:val="8"/>
  </w:num>
  <w:num w:numId="11">
    <w:abstractNumId w:val="22"/>
  </w:num>
  <w:num w:numId="12">
    <w:abstractNumId w:val="36"/>
  </w:num>
  <w:num w:numId="13">
    <w:abstractNumId w:val="20"/>
  </w:num>
  <w:num w:numId="14">
    <w:abstractNumId w:val="16"/>
  </w:num>
  <w:num w:numId="15">
    <w:abstractNumId w:val="9"/>
  </w:num>
  <w:num w:numId="16">
    <w:abstractNumId w:val="32"/>
  </w:num>
  <w:num w:numId="17">
    <w:abstractNumId w:val="15"/>
  </w:num>
  <w:num w:numId="18">
    <w:abstractNumId w:val="1"/>
  </w:num>
  <w:num w:numId="19">
    <w:abstractNumId w:val="39"/>
  </w:num>
  <w:num w:numId="20">
    <w:abstractNumId w:val="35"/>
  </w:num>
  <w:num w:numId="21">
    <w:abstractNumId w:val="33"/>
  </w:num>
  <w:num w:numId="22">
    <w:abstractNumId w:val="37"/>
  </w:num>
  <w:num w:numId="23">
    <w:abstractNumId w:val="30"/>
  </w:num>
  <w:num w:numId="24">
    <w:abstractNumId w:val="2"/>
  </w:num>
  <w:num w:numId="25">
    <w:abstractNumId w:val="19"/>
  </w:num>
  <w:num w:numId="26">
    <w:abstractNumId w:val="40"/>
  </w:num>
  <w:num w:numId="27">
    <w:abstractNumId w:val="17"/>
  </w:num>
  <w:num w:numId="28">
    <w:abstractNumId w:val="38"/>
  </w:num>
  <w:num w:numId="29">
    <w:abstractNumId w:val="14"/>
  </w:num>
  <w:num w:numId="30">
    <w:abstractNumId w:val="29"/>
  </w:num>
  <w:num w:numId="31">
    <w:abstractNumId w:val="3"/>
  </w:num>
  <w:num w:numId="32">
    <w:abstractNumId w:val="34"/>
  </w:num>
  <w:num w:numId="33">
    <w:abstractNumId w:val="11"/>
  </w:num>
  <w:num w:numId="34">
    <w:abstractNumId w:val="5"/>
  </w:num>
  <w:num w:numId="35">
    <w:abstractNumId w:val="0"/>
  </w:num>
  <w:num w:numId="36">
    <w:abstractNumId w:val="27"/>
  </w:num>
  <w:num w:numId="37">
    <w:abstractNumId w:val="13"/>
  </w:num>
  <w:num w:numId="38">
    <w:abstractNumId w:val="28"/>
  </w:num>
  <w:num w:numId="39">
    <w:abstractNumId w:val="31"/>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8673">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214D4"/>
    <w:rsid w:val="0002757B"/>
    <w:rsid w:val="00071A72"/>
    <w:rsid w:val="00080838"/>
    <w:rsid w:val="00086975"/>
    <w:rsid w:val="00092087"/>
    <w:rsid w:val="00093D16"/>
    <w:rsid w:val="000972BD"/>
    <w:rsid w:val="000B23D7"/>
    <w:rsid w:val="000B4B5E"/>
    <w:rsid w:val="000C447C"/>
    <w:rsid w:val="000D0B57"/>
    <w:rsid w:val="000E10A5"/>
    <w:rsid w:val="000E612E"/>
    <w:rsid w:val="000E6618"/>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B26E6"/>
    <w:rsid w:val="001B4EAA"/>
    <w:rsid w:val="001D2B57"/>
    <w:rsid w:val="001E22A1"/>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E7EBD"/>
    <w:rsid w:val="003004E6"/>
    <w:rsid w:val="0031618B"/>
    <w:rsid w:val="00316607"/>
    <w:rsid w:val="00316F2E"/>
    <w:rsid w:val="00321F06"/>
    <w:rsid w:val="00330EAD"/>
    <w:rsid w:val="00331045"/>
    <w:rsid w:val="00331522"/>
    <w:rsid w:val="003328ED"/>
    <w:rsid w:val="00336226"/>
    <w:rsid w:val="00341AC7"/>
    <w:rsid w:val="003502D2"/>
    <w:rsid w:val="00367DC8"/>
    <w:rsid w:val="00372BE9"/>
    <w:rsid w:val="003741C5"/>
    <w:rsid w:val="00386DA2"/>
    <w:rsid w:val="003A23D7"/>
    <w:rsid w:val="003C2910"/>
    <w:rsid w:val="003C629E"/>
    <w:rsid w:val="003C654D"/>
    <w:rsid w:val="003C7B0B"/>
    <w:rsid w:val="003D02F0"/>
    <w:rsid w:val="003D49D9"/>
    <w:rsid w:val="003D4D86"/>
    <w:rsid w:val="003D6904"/>
    <w:rsid w:val="003F40AB"/>
    <w:rsid w:val="003F4FF1"/>
    <w:rsid w:val="00401058"/>
    <w:rsid w:val="00404F48"/>
    <w:rsid w:val="00417021"/>
    <w:rsid w:val="00417F96"/>
    <w:rsid w:val="00433681"/>
    <w:rsid w:val="00436E9F"/>
    <w:rsid w:val="00442530"/>
    <w:rsid w:val="00456F1F"/>
    <w:rsid w:val="00460BB7"/>
    <w:rsid w:val="004612B1"/>
    <w:rsid w:val="004617A2"/>
    <w:rsid w:val="00475359"/>
    <w:rsid w:val="00477544"/>
    <w:rsid w:val="00480219"/>
    <w:rsid w:val="00481010"/>
    <w:rsid w:val="004821FB"/>
    <w:rsid w:val="00487045"/>
    <w:rsid w:val="004A7C68"/>
    <w:rsid w:val="004B07EC"/>
    <w:rsid w:val="004B285F"/>
    <w:rsid w:val="004B7C28"/>
    <w:rsid w:val="004C3722"/>
    <w:rsid w:val="004C6A30"/>
    <w:rsid w:val="004D6325"/>
    <w:rsid w:val="004E106C"/>
    <w:rsid w:val="004E1989"/>
    <w:rsid w:val="004E5D63"/>
    <w:rsid w:val="004F0B35"/>
    <w:rsid w:val="00500101"/>
    <w:rsid w:val="0050277C"/>
    <w:rsid w:val="00514239"/>
    <w:rsid w:val="005365DE"/>
    <w:rsid w:val="005416D3"/>
    <w:rsid w:val="00547025"/>
    <w:rsid w:val="005477EC"/>
    <w:rsid w:val="00570258"/>
    <w:rsid w:val="0057456B"/>
    <w:rsid w:val="0058537F"/>
    <w:rsid w:val="00590E04"/>
    <w:rsid w:val="0059575F"/>
    <w:rsid w:val="005A2059"/>
    <w:rsid w:val="005A7B88"/>
    <w:rsid w:val="005B66D6"/>
    <w:rsid w:val="005C0389"/>
    <w:rsid w:val="005C7BFB"/>
    <w:rsid w:val="005D439A"/>
    <w:rsid w:val="005D52B4"/>
    <w:rsid w:val="005E5D8D"/>
    <w:rsid w:val="005E76B1"/>
    <w:rsid w:val="005F3D2D"/>
    <w:rsid w:val="0060443C"/>
    <w:rsid w:val="00621AD0"/>
    <w:rsid w:val="0063081D"/>
    <w:rsid w:val="00631E5D"/>
    <w:rsid w:val="006320BC"/>
    <w:rsid w:val="00636AD8"/>
    <w:rsid w:val="00637759"/>
    <w:rsid w:val="00640FB0"/>
    <w:rsid w:val="00643EE1"/>
    <w:rsid w:val="00647983"/>
    <w:rsid w:val="006643BF"/>
    <w:rsid w:val="00681532"/>
    <w:rsid w:val="00685AB7"/>
    <w:rsid w:val="00690FED"/>
    <w:rsid w:val="006954A9"/>
    <w:rsid w:val="006B38B5"/>
    <w:rsid w:val="006C30C4"/>
    <w:rsid w:val="006D2862"/>
    <w:rsid w:val="006E0908"/>
    <w:rsid w:val="006F1ECB"/>
    <w:rsid w:val="006F36CB"/>
    <w:rsid w:val="007005CF"/>
    <w:rsid w:val="00705458"/>
    <w:rsid w:val="00706359"/>
    <w:rsid w:val="00710FFE"/>
    <w:rsid w:val="007114E7"/>
    <w:rsid w:val="00715FC3"/>
    <w:rsid w:val="00716E2E"/>
    <w:rsid w:val="007335E2"/>
    <w:rsid w:val="00733C91"/>
    <w:rsid w:val="0074293E"/>
    <w:rsid w:val="00744760"/>
    <w:rsid w:val="00745344"/>
    <w:rsid w:val="00764B54"/>
    <w:rsid w:val="0077281B"/>
    <w:rsid w:val="00783D27"/>
    <w:rsid w:val="00786159"/>
    <w:rsid w:val="00797D9B"/>
    <w:rsid w:val="007A35F2"/>
    <w:rsid w:val="007A4FA5"/>
    <w:rsid w:val="007B3E4D"/>
    <w:rsid w:val="007C1B5B"/>
    <w:rsid w:val="007D03C3"/>
    <w:rsid w:val="007D1E64"/>
    <w:rsid w:val="007D68CE"/>
    <w:rsid w:val="007F0B2B"/>
    <w:rsid w:val="007F6F21"/>
    <w:rsid w:val="0081447B"/>
    <w:rsid w:val="008164DA"/>
    <w:rsid w:val="00822F2F"/>
    <w:rsid w:val="00842E47"/>
    <w:rsid w:val="00854D5E"/>
    <w:rsid w:val="00866782"/>
    <w:rsid w:val="008714A1"/>
    <w:rsid w:val="00884D7C"/>
    <w:rsid w:val="0088726D"/>
    <w:rsid w:val="0088780C"/>
    <w:rsid w:val="008930D2"/>
    <w:rsid w:val="008937AF"/>
    <w:rsid w:val="008A52AD"/>
    <w:rsid w:val="008B23DA"/>
    <w:rsid w:val="008B644C"/>
    <w:rsid w:val="008C3B24"/>
    <w:rsid w:val="008C6427"/>
    <w:rsid w:val="008C7E1E"/>
    <w:rsid w:val="008D4B72"/>
    <w:rsid w:val="008D5BFD"/>
    <w:rsid w:val="008D79F7"/>
    <w:rsid w:val="008E3A14"/>
    <w:rsid w:val="008E5A9A"/>
    <w:rsid w:val="00916144"/>
    <w:rsid w:val="0092041D"/>
    <w:rsid w:val="00925BD7"/>
    <w:rsid w:val="009347BB"/>
    <w:rsid w:val="009376A5"/>
    <w:rsid w:val="00960A84"/>
    <w:rsid w:val="009616AA"/>
    <w:rsid w:val="00966891"/>
    <w:rsid w:val="00967DDB"/>
    <w:rsid w:val="00967F08"/>
    <w:rsid w:val="009769A5"/>
    <w:rsid w:val="00983817"/>
    <w:rsid w:val="0099011A"/>
    <w:rsid w:val="00990EEC"/>
    <w:rsid w:val="009956CA"/>
    <w:rsid w:val="009974B4"/>
    <w:rsid w:val="009A1589"/>
    <w:rsid w:val="009A2687"/>
    <w:rsid w:val="009A5FA5"/>
    <w:rsid w:val="009A79FB"/>
    <w:rsid w:val="009B56B2"/>
    <w:rsid w:val="009B596E"/>
    <w:rsid w:val="009C6B89"/>
    <w:rsid w:val="009D2F38"/>
    <w:rsid w:val="009D624F"/>
    <w:rsid w:val="009F5D81"/>
    <w:rsid w:val="009F6DE9"/>
    <w:rsid w:val="009F7669"/>
    <w:rsid w:val="00A06376"/>
    <w:rsid w:val="00A070B2"/>
    <w:rsid w:val="00A07C7E"/>
    <w:rsid w:val="00A2249F"/>
    <w:rsid w:val="00A56EA7"/>
    <w:rsid w:val="00A676C7"/>
    <w:rsid w:val="00A72A46"/>
    <w:rsid w:val="00A7416B"/>
    <w:rsid w:val="00A76B5C"/>
    <w:rsid w:val="00A84782"/>
    <w:rsid w:val="00A932C6"/>
    <w:rsid w:val="00A96EB5"/>
    <w:rsid w:val="00AA01DE"/>
    <w:rsid w:val="00AA24EB"/>
    <w:rsid w:val="00AC7F96"/>
    <w:rsid w:val="00AF5D57"/>
    <w:rsid w:val="00B14F9E"/>
    <w:rsid w:val="00B22824"/>
    <w:rsid w:val="00B24BB3"/>
    <w:rsid w:val="00B27CFD"/>
    <w:rsid w:val="00B37DA4"/>
    <w:rsid w:val="00B40E42"/>
    <w:rsid w:val="00B46C45"/>
    <w:rsid w:val="00B51184"/>
    <w:rsid w:val="00B53238"/>
    <w:rsid w:val="00B53DE0"/>
    <w:rsid w:val="00B5773F"/>
    <w:rsid w:val="00B649E1"/>
    <w:rsid w:val="00B7260D"/>
    <w:rsid w:val="00B91F44"/>
    <w:rsid w:val="00BC241C"/>
    <w:rsid w:val="00BD11AA"/>
    <w:rsid w:val="00BD30FA"/>
    <w:rsid w:val="00BE7E35"/>
    <w:rsid w:val="00C20B28"/>
    <w:rsid w:val="00C37EF2"/>
    <w:rsid w:val="00C60482"/>
    <w:rsid w:val="00C64531"/>
    <w:rsid w:val="00C664E4"/>
    <w:rsid w:val="00C76C87"/>
    <w:rsid w:val="00C80B3D"/>
    <w:rsid w:val="00C86606"/>
    <w:rsid w:val="00C901C8"/>
    <w:rsid w:val="00C9071C"/>
    <w:rsid w:val="00CC520E"/>
    <w:rsid w:val="00CC59CA"/>
    <w:rsid w:val="00CD41CC"/>
    <w:rsid w:val="00CD5D7D"/>
    <w:rsid w:val="00CE1002"/>
    <w:rsid w:val="00CF2D14"/>
    <w:rsid w:val="00CF2DDE"/>
    <w:rsid w:val="00CF5ED3"/>
    <w:rsid w:val="00D01CF9"/>
    <w:rsid w:val="00D05FF6"/>
    <w:rsid w:val="00D2443E"/>
    <w:rsid w:val="00D245ED"/>
    <w:rsid w:val="00D25AA0"/>
    <w:rsid w:val="00D54302"/>
    <w:rsid w:val="00D55E6F"/>
    <w:rsid w:val="00D738E6"/>
    <w:rsid w:val="00D8402D"/>
    <w:rsid w:val="00D86885"/>
    <w:rsid w:val="00D9377B"/>
    <w:rsid w:val="00D93BE0"/>
    <w:rsid w:val="00DB03ED"/>
    <w:rsid w:val="00DC65BE"/>
    <w:rsid w:val="00DC705D"/>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841FD"/>
    <w:rsid w:val="00E900DF"/>
    <w:rsid w:val="00E94222"/>
    <w:rsid w:val="00E96838"/>
    <w:rsid w:val="00EA037F"/>
    <w:rsid w:val="00EA099C"/>
    <w:rsid w:val="00EA52E9"/>
    <w:rsid w:val="00EB2E49"/>
    <w:rsid w:val="00EC2E54"/>
    <w:rsid w:val="00ED30E5"/>
    <w:rsid w:val="00EE4B88"/>
    <w:rsid w:val="00EE54D2"/>
    <w:rsid w:val="00EF0908"/>
    <w:rsid w:val="00F016AD"/>
    <w:rsid w:val="00F07B36"/>
    <w:rsid w:val="00F10DA3"/>
    <w:rsid w:val="00F13AE2"/>
    <w:rsid w:val="00F15710"/>
    <w:rsid w:val="00F22294"/>
    <w:rsid w:val="00F22D35"/>
    <w:rsid w:val="00F25166"/>
    <w:rsid w:val="00F275B9"/>
    <w:rsid w:val="00F3273F"/>
    <w:rsid w:val="00F33F5A"/>
    <w:rsid w:val="00F34D4F"/>
    <w:rsid w:val="00F7177C"/>
    <w:rsid w:val="00F74500"/>
    <w:rsid w:val="00F832AD"/>
    <w:rsid w:val="00F92B4E"/>
    <w:rsid w:val="00FA21A7"/>
    <w:rsid w:val="00FB0E37"/>
    <w:rsid w:val="00FB52ED"/>
    <w:rsid w:val="00FB5B9B"/>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6bf00"/>
    </o:shapedefaults>
    <o:shapelayout v:ext="edit">
      <o:idmap v:ext="edit" data="1"/>
    </o:shapelayout>
  </w:shapeDefaults>
  <w:decimalSymbol w:val="."/>
  <w:listSeparator w:val=","/>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F83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 w:id="21378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work.bethematchclinical.org/research/research-protocols/patient-centered-research-agenda/patient--caregiver-and-family-education-and-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ADDE-B50F-4C88-90DD-8B6C42FC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676</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Jackie Foster</cp:lastModifiedBy>
  <cp:revision>6</cp:revision>
  <cp:lastPrinted>2011-05-26T18:08:00Z</cp:lastPrinted>
  <dcterms:created xsi:type="dcterms:W3CDTF">2016-09-01T13:43:00Z</dcterms:created>
  <dcterms:modified xsi:type="dcterms:W3CDTF">2016-09-01T16:58:00Z</dcterms:modified>
</cp:coreProperties>
</file>