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14"/>
        <w:gridCol w:w="1980"/>
        <w:gridCol w:w="1170"/>
        <w:gridCol w:w="6390"/>
        <w:gridCol w:w="2250"/>
      </w:tblGrid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bookmarkStart w:id="0" w:name="_GoBack"/>
            <w:bookmarkEnd w:id="0"/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925BD7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925BD7">
              <w:rPr>
                <w:rFonts w:ascii="Calibri" w:hAnsi="Calibri"/>
                <w:b/>
                <w:szCs w:val="22"/>
              </w:rPr>
              <w:t>7</w:t>
            </w:r>
            <w:r w:rsidR="00EA52E9">
              <w:rPr>
                <w:rFonts w:ascii="Calibri" w:hAnsi="Calibri"/>
                <w:b/>
                <w:szCs w:val="22"/>
              </w:rPr>
              <w:t>/</w:t>
            </w:r>
            <w:r w:rsidR="00925BD7">
              <w:rPr>
                <w:rFonts w:ascii="Calibri" w:hAnsi="Calibri"/>
                <w:b/>
                <w:szCs w:val="22"/>
              </w:rPr>
              <w:t>7</w:t>
            </w:r>
            <w:r w:rsidR="00EA52E9">
              <w:rPr>
                <w:rFonts w:ascii="Calibri" w:hAnsi="Calibri"/>
                <w:b/>
                <w:szCs w:val="22"/>
              </w:rPr>
              <w:t>/16</w:t>
            </w:r>
            <w:r w:rsidRPr="00EA52E9">
              <w:rPr>
                <w:rFonts w:ascii="Calibri" w:hAnsi="Calibri"/>
                <w:b/>
                <w:szCs w:val="22"/>
              </w:rPr>
              <w:t xml:space="preserve"> Start Time: </w:t>
            </w:r>
            <w:r w:rsidR="00925BD7">
              <w:rPr>
                <w:rFonts w:ascii="Calibri" w:hAnsi="Calibri"/>
                <w:b/>
                <w:szCs w:val="22"/>
              </w:rPr>
              <w:t>9:3</w:t>
            </w:r>
            <w:r w:rsidR="00EA52E9">
              <w:rPr>
                <w:rFonts w:ascii="Calibri" w:hAnsi="Calibri"/>
                <w:b/>
                <w:szCs w:val="22"/>
              </w:rPr>
              <w:t>0</w:t>
            </w:r>
            <w:r w:rsidR="00B53238" w:rsidRPr="00EA52E9">
              <w:rPr>
                <w:rFonts w:ascii="Calibri" w:hAnsi="Calibri"/>
                <w:b/>
                <w:szCs w:val="22"/>
              </w:rPr>
              <w:t xml:space="preserve">am 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925BD7">
              <w:rPr>
                <w:rFonts w:ascii="Calibri" w:hAnsi="Calibri"/>
                <w:b/>
                <w:szCs w:val="22"/>
              </w:rPr>
              <w:t>10:3</w:t>
            </w:r>
            <w:r w:rsidR="00EA52E9">
              <w:rPr>
                <w:rFonts w:ascii="Calibri" w:hAnsi="Calibri"/>
                <w:b/>
                <w:szCs w:val="22"/>
              </w:rPr>
              <w:t>0</w:t>
            </w:r>
            <w:r w:rsidR="00B53238" w:rsidRPr="00EA52E9">
              <w:rPr>
                <w:rFonts w:ascii="Calibri" w:hAnsi="Calibri"/>
                <w:b/>
                <w:szCs w:val="22"/>
              </w:rPr>
              <w:t>am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1453B0" w:rsidP="00EA52E9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Attendees</w:t>
            </w:r>
            <w:r w:rsidRPr="004E5D63">
              <w:rPr>
                <w:rFonts w:ascii="Calibri" w:hAnsi="Calibri"/>
                <w:b/>
                <w:szCs w:val="22"/>
              </w:rPr>
              <w:t xml:space="preserve">: </w:t>
            </w:r>
            <w:r w:rsidR="00EA52E9" w:rsidRPr="004E5D63">
              <w:rPr>
                <w:rFonts w:ascii="Calibri" w:hAnsi="Calibri" w:cs="Times"/>
                <w:szCs w:val="22"/>
              </w:rPr>
              <w:t xml:space="preserve">Alva Roche-Green, MD (co-chair); Kim Schmit-Pokorny, RN, MSN, OCN, BMTCN (co-chair); Bronwen Shaw, MD; Hélène Schoemans, MD; Kristin Scheeler, LSW; Margaret Bevans, RN, PhD, AOCN, FAAN; </w:t>
            </w:r>
            <w:r w:rsidR="004E5D63" w:rsidRPr="004E5D63">
              <w:rPr>
                <w:rFonts w:ascii="Calibri" w:hAnsi="Calibri"/>
                <w:szCs w:val="22"/>
              </w:rPr>
              <w:t xml:space="preserve">Evan Shereck, MD; </w:t>
            </w:r>
            <w:r w:rsidR="00EA52E9" w:rsidRPr="004E5D63">
              <w:rPr>
                <w:rFonts w:ascii="Calibri" w:hAnsi="Calibri" w:cs="Times"/>
                <w:szCs w:val="22"/>
              </w:rPr>
              <w:t>Cindy Sargeant; Everett Lee; Barry Schatz; Susan Kullberg; Kate Houg (NMDP admin staff); Jackie Foster, MPH, RN (lead NMDP staff)</w:t>
            </w:r>
            <w:r w:rsidR="00E94222" w:rsidRPr="004E5D63">
              <w:rPr>
                <w:rFonts w:ascii="Calibri" w:hAnsi="Calibri" w:cs="Times"/>
                <w:szCs w:val="22"/>
              </w:rPr>
              <w:t>, Elizabeth Murphy</w:t>
            </w:r>
            <w:r w:rsidR="00FB5B9B">
              <w:rPr>
                <w:rFonts w:ascii="Calibri" w:hAnsi="Calibri" w:cs="Times"/>
                <w:szCs w:val="22"/>
              </w:rPr>
              <w:t xml:space="preserve"> </w:t>
            </w:r>
          </w:p>
          <w:p w:rsidR="00AF5D57" w:rsidRPr="00EA52E9" w:rsidRDefault="00AF5D57" w:rsidP="004E5D63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Not in attendance:</w:t>
            </w:r>
            <w:r w:rsidRPr="00EA52E9">
              <w:rPr>
                <w:rFonts w:ascii="Calibri" w:hAnsi="Calibri"/>
                <w:szCs w:val="22"/>
              </w:rPr>
              <w:t xml:space="preserve"> </w:t>
            </w:r>
            <w:r w:rsidR="004E5D63">
              <w:rPr>
                <w:rFonts w:ascii="Calibri" w:hAnsi="Calibri" w:cs="Times"/>
                <w:szCs w:val="22"/>
              </w:rPr>
              <w:t>Jack Aiello;</w:t>
            </w:r>
          </w:p>
        </w:tc>
      </w:tr>
      <w:tr w:rsidR="001453B0" w:rsidRPr="00882F60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:rsidTr="0057456B">
        <w:trPr>
          <w:trHeight w:val="525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Welcome / Introductions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Jackie Foster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EA52E9" w:rsidP="00EA52E9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50277C" w:rsidP="0057456B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conducted roll</w:t>
            </w:r>
            <w:r w:rsidR="0057456B">
              <w:rPr>
                <w:rFonts w:ascii="Calibri" w:hAnsi="Calibri"/>
              </w:rPr>
              <w:t xml:space="preserve"> call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925BD7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minutes from last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Foster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925BD7" w:rsidP="00EA52E9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63" w:rsidRPr="00C9071C" w:rsidRDefault="004E5D63" w:rsidP="00C9071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provided a r</w:t>
            </w:r>
            <w:r w:rsidR="007005CF">
              <w:rPr>
                <w:rFonts w:ascii="Calibri" w:hAnsi="Calibri"/>
              </w:rPr>
              <w:t xml:space="preserve">eview from the minutes from the </w:t>
            </w:r>
            <w:r>
              <w:rPr>
                <w:rFonts w:ascii="Calibri" w:hAnsi="Calibri"/>
              </w:rPr>
              <w:t xml:space="preserve">6/9/16 meeting.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1C8" w:rsidRPr="00E94222" w:rsidRDefault="00C901C8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925BD7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sub group activities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44C" w:rsidRDefault="004E5D63" w:rsidP="0046148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have a sub group that has met to talk about the literature </w:t>
            </w:r>
            <w:r w:rsidR="007005CF">
              <w:rPr>
                <w:rFonts w:ascii="Calibri" w:hAnsi="Calibri"/>
              </w:rPr>
              <w:t>reviews</w:t>
            </w:r>
          </w:p>
          <w:p w:rsidR="004E5D63" w:rsidRDefault="004E5D63" w:rsidP="00461488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 had access to a medical</w:t>
            </w:r>
            <w:r w:rsidR="0057456B">
              <w:rPr>
                <w:rFonts w:ascii="Calibri" w:hAnsi="Calibri"/>
              </w:rPr>
              <w:t xml:space="preserve"> librarian who provided article abstracts</w:t>
            </w:r>
            <w:r>
              <w:rPr>
                <w:rFonts w:ascii="Calibri" w:hAnsi="Calibri"/>
              </w:rPr>
              <w:t xml:space="preserve"> for review</w:t>
            </w:r>
          </w:p>
          <w:p w:rsidR="004E5D63" w:rsidRPr="00B7260D" w:rsidRDefault="004E5D63" w:rsidP="004E5D63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distributed the articles </w:t>
            </w:r>
            <w:r w:rsidR="0057456B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the researchers/clinicians/social workers on the group to determine if they were relevant or not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925BD7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abstract assignments and guidelines for review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5CF" w:rsidRDefault="007005CF" w:rsidP="00FB5B9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and Alva both went through all the article abstracts, and shared them with multiple members of the sub group.</w:t>
            </w:r>
          </w:p>
          <w:p w:rsidR="007005CF" w:rsidRDefault="007005CF" w:rsidP="00FB5B9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 articles are not relevant, some may or may not be relevant</w:t>
            </w:r>
          </w:p>
          <w:p w:rsidR="007005CF" w:rsidRDefault="007005CF" w:rsidP="00FB5B9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Recipients and caregivers on the group are welcome to review articles to their comfort level, but it is not the expectation.</w:t>
            </w:r>
            <w:r w:rsidR="00C9071C">
              <w:rPr>
                <w:rFonts w:ascii="Calibri" w:hAnsi="Calibri"/>
              </w:rPr>
              <w:t xml:space="preserve"> (Susan and Everett would like to read the caregiver articles).</w:t>
            </w:r>
          </w:p>
          <w:p w:rsidR="007005CF" w:rsidRDefault="007005CF" w:rsidP="00FB5B9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Need to come up with a review tool to identify the pertinent parts of the article for our WG. Need to determine the population, the type of article (descriptive/review), and identify gaps in knowledge and educational resources within the article</w:t>
            </w:r>
          </w:p>
          <w:p w:rsidR="007005CF" w:rsidRDefault="007005CF" w:rsidP="007005CF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should stick to the transplant population, otherwise we may not see where the gaps in transplant are as clearly</w:t>
            </w:r>
          </w:p>
          <w:p w:rsidR="007005CF" w:rsidRDefault="00A2249F" w:rsidP="007005CF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were articles about “missing education” in certain areas. We should identify gaps in the actual content as well</w:t>
            </w:r>
            <w:r w:rsidR="007005CF">
              <w:rPr>
                <w:rFonts w:ascii="Calibri" w:hAnsi="Calibri"/>
              </w:rPr>
              <w:t xml:space="preserve"> </w:t>
            </w:r>
          </w:p>
          <w:p w:rsidR="00D01CF9" w:rsidRPr="00C9071C" w:rsidRDefault="00A2249F" w:rsidP="00C9071C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should look at the role of technology as well (methods) and how information is given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Default="00A2249F" w:rsidP="0057456B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will speak with our staff to see where our WG area on support ends and where the emotional support begins</w:t>
            </w:r>
          </w:p>
          <w:p w:rsidR="00A2249F" w:rsidRDefault="00D01CF9" w:rsidP="0057456B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Jackie </w:t>
            </w:r>
            <w:r w:rsidR="00A2249F">
              <w:rPr>
                <w:rFonts w:ascii="Calibri" w:hAnsi="Calibri"/>
              </w:rPr>
              <w:t>will put together a document to assist with the literature review</w:t>
            </w:r>
          </w:p>
          <w:p w:rsidR="0031618B" w:rsidRPr="00A2249F" w:rsidRDefault="0031618B" w:rsidP="0057456B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send out an updated table with correct responses prior to subgroup meeting</w:t>
            </w:r>
          </w:p>
        </w:tc>
      </w:tr>
      <w:tr w:rsidR="00925BD7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D7" w:rsidRDefault="00925BD7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BD7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BD7" w:rsidRPr="00EA52E9" w:rsidRDefault="00925BD7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9F" w:rsidRDefault="00C9071C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</w:t>
            </w:r>
            <w:r w:rsidR="00A2249F">
              <w:rPr>
                <w:rFonts w:ascii="Calibri" w:hAnsi="Calibri"/>
              </w:rPr>
              <w:t xml:space="preserve"> subgroup </w:t>
            </w:r>
            <w:r>
              <w:rPr>
                <w:rFonts w:ascii="Calibri" w:hAnsi="Calibri"/>
              </w:rPr>
              <w:t xml:space="preserve">will </w:t>
            </w:r>
            <w:r w:rsidR="00A2249F">
              <w:rPr>
                <w:rFonts w:ascii="Calibri" w:hAnsi="Calibri"/>
              </w:rPr>
              <w:t xml:space="preserve">reconvene and review the abstract document. We will come up with the best way to divide the articles between the WG, and narrow done the list. </w:t>
            </w:r>
          </w:p>
          <w:p w:rsidR="00C9071C" w:rsidRDefault="00D01CF9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Criteria: </w:t>
            </w:r>
          </w:p>
          <w:p w:rsidR="00C9071C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01CF9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opulation (adult vs pediatric)</w:t>
            </w:r>
          </w:p>
          <w:p w:rsidR="00C9071C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01CF9">
              <w:rPr>
                <w:rFonts w:ascii="Calibri" w:hAnsi="Calibri"/>
              </w:rPr>
              <w:t>Stem Cell vs Cancer vs o</w:t>
            </w:r>
            <w:r>
              <w:rPr>
                <w:rFonts w:ascii="Calibri" w:hAnsi="Calibri"/>
              </w:rPr>
              <w:t>ther</w:t>
            </w:r>
          </w:p>
          <w:p w:rsidR="00C9071C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-Caregivers vs other</w:t>
            </w:r>
          </w:p>
          <w:p w:rsidR="00C9071C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01CF9">
              <w:rPr>
                <w:rFonts w:ascii="Calibri" w:hAnsi="Calibri"/>
              </w:rPr>
              <w:t>Sys</w:t>
            </w:r>
            <w:r>
              <w:rPr>
                <w:rFonts w:ascii="Calibri" w:hAnsi="Calibri"/>
              </w:rPr>
              <w:t>tem issue vs individual factor</w:t>
            </w:r>
          </w:p>
          <w:p w:rsidR="00C9071C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01CF9">
              <w:rPr>
                <w:rFonts w:ascii="Calibri" w:hAnsi="Calibri"/>
              </w:rPr>
              <w:t>Compara</w:t>
            </w:r>
            <w:r>
              <w:rPr>
                <w:rFonts w:ascii="Calibri" w:hAnsi="Calibri"/>
              </w:rPr>
              <w:t>tive vs descriptive literature</w:t>
            </w:r>
          </w:p>
          <w:p w:rsidR="00D01CF9" w:rsidRDefault="00C9071C" w:rsidP="00C9071C">
            <w:pPr>
              <w:pStyle w:val="ListParagraph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D01CF9">
              <w:rPr>
                <w:rFonts w:ascii="Calibri" w:hAnsi="Calibri"/>
              </w:rPr>
              <w:t xml:space="preserve">Type of study. </w:t>
            </w:r>
          </w:p>
          <w:p w:rsidR="0031618B" w:rsidRDefault="0031618B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Hope to give 5 articles to each reviewer</w:t>
            </w:r>
            <w:r w:rsidR="00842E47">
              <w:rPr>
                <w:rFonts w:ascii="Calibri" w:hAnsi="Calibri"/>
              </w:rPr>
              <w:t>. Will try to match article review assignments with abstract review assignments</w:t>
            </w:r>
          </w:p>
          <w:p w:rsidR="0031618B" w:rsidRPr="00FB5B9B" w:rsidRDefault="0031618B" w:rsidP="00D01CF9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Helene will be on holiday until the beginning of August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BD7" w:rsidRPr="00E94222" w:rsidRDefault="00925BD7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Summary of tasks and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Kate Houg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31618B" w:rsidRDefault="0031618B" w:rsidP="0031618B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week call: Kim, Alva, Margaret, Kristin, Evan, Bronwen, Helene, </w:t>
            </w:r>
          </w:p>
          <w:p w:rsidR="0031618B" w:rsidRPr="00E94222" w:rsidRDefault="0031618B" w:rsidP="00925BD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Once we narrow down the articles, we will send them out to the reviewers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D245ED" w:rsidRDefault="0031618B" w:rsidP="00F13AE2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Kate will send a doodle poll for a subgroup meeting</w:t>
            </w:r>
          </w:p>
        </w:tc>
      </w:tr>
    </w:tbl>
    <w:p w:rsidR="005E76B1" w:rsidRDefault="005E76B1"/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B0" w:rsidRDefault="007F20B0">
      <w:r>
        <w:separator/>
      </w:r>
    </w:p>
  </w:endnote>
  <w:endnote w:type="continuationSeparator" w:id="0">
    <w:p w:rsidR="007F20B0" w:rsidRDefault="007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B0" w:rsidRDefault="007F20B0">
      <w:r>
        <w:separator/>
      </w:r>
    </w:p>
  </w:footnote>
  <w:footnote w:type="continuationSeparator" w:id="0">
    <w:p w:rsidR="007F20B0" w:rsidRDefault="007F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677E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02"/>
    <w:multiLevelType w:val="hybridMultilevel"/>
    <w:tmpl w:val="9C7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E7096"/>
    <w:multiLevelType w:val="hybridMultilevel"/>
    <w:tmpl w:val="F30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7"/>
  </w:num>
  <w:num w:numId="5">
    <w:abstractNumId w:val="24"/>
  </w:num>
  <w:num w:numId="6">
    <w:abstractNumId w:val="10"/>
  </w:num>
  <w:num w:numId="7">
    <w:abstractNumId w:val="22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5"/>
  </w:num>
  <w:num w:numId="13">
    <w:abstractNumId w:val="19"/>
  </w:num>
  <w:num w:numId="14">
    <w:abstractNumId w:val="16"/>
  </w:num>
  <w:num w:numId="15">
    <w:abstractNumId w:val="9"/>
  </w:num>
  <w:num w:numId="16">
    <w:abstractNumId w:val="31"/>
  </w:num>
  <w:num w:numId="17">
    <w:abstractNumId w:val="15"/>
  </w:num>
  <w:num w:numId="18">
    <w:abstractNumId w:val="1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29"/>
  </w:num>
  <w:num w:numId="24">
    <w:abstractNumId w:val="2"/>
  </w:num>
  <w:num w:numId="25">
    <w:abstractNumId w:val="18"/>
  </w:num>
  <w:num w:numId="26">
    <w:abstractNumId w:val="39"/>
  </w:num>
  <w:num w:numId="27">
    <w:abstractNumId w:val="17"/>
  </w:num>
  <w:num w:numId="28">
    <w:abstractNumId w:val="37"/>
  </w:num>
  <w:num w:numId="29">
    <w:abstractNumId w:val="14"/>
  </w:num>
  <w:num w:numId="30">
    <w:abstractNumId w:val="28"/>
  </w:num>
  <w:num w:numId="31">
    <w:abstractNumId w:val="3"/>
  </w:num>
  <w:num w:numId="32">
    <w:abstractNumId w:val="33"/>
  </w:num>
  <w:num w:numId="33">
    <w:abstractNumId w:val="11"/>
  </w:num>
  <w:num w:numId="34">
    <w:abstractNumId w:val="5"/>
  </w:num>
  <w:num w:numId="35">
    <w:abstractNumId w:val="0"/>
  </w:num>
  <w:num w:numId="36">
    <w:abstractNumId w:val="26"/>
  </w:num>
  <w:num w:numId="37">
    <w:abstractNumId w:val="13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C447C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3004E6"/>
    <w:rsid w:val="0031618B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0219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E5D63"/>
    <w:rsid w:val="004F0B35"/>
    <w:rsid w:val="00500101"/>
    <w:rsid w:val="0050277C"/>
    <w:rsid w:val="00514239"/>
    <w:rsid w:val="005365DE"/>
    <w:rsid w:val="005416D3"/>
    <w:rsid w:val="00547025"/>
    <w:rsid w:val="005477EC"/>
    <w:rsid w:val="00570258"/>
    <w:rsid w:val="0057456B"/>
    <w:rsid w:val="0058537F"/>
    <w:rsid w:val="00590E04"/>
    <w:rsid w:val="0059575F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05CF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C499F"/>
    <w:rsid w:val="007D03C3"/>
    <w:rsid w:val="007D1E64"/>
    <w:rsid w:val="007D68CE"/>
    <w:rsid w:val="007F0B2B"/>
    <w:rsid w:val="007F20B0"/>
    <w:rsid w:val="007F6F21"/>
    <w:rsid w:val="0081447B"/>
    <w:rsid w:val="008164DA"/>
    <w:rsid w:val="00822F2F"/>
    <w:rsid w:val="00842E47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25BD7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2249F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C7F96"/>
    <w:rsid w:val="00AF5D57"/>
    <w:rsid w:val="00B14F9E"/>
    <w:rsid w:val="00B22824"/>
    <w:rsid w:val="00B24BB3"/>
    <w:rsid w:val="00B27CFD"/>
    <w:rsid w:val="00B37DA4"/>
    <w:rsid w:val="00B40E42"/>
    <w:rsid w:val="00B46C45"/>
    <w:rsid w:val="00B51184"/>
    <w:rsid w:val="00B53238"/>
    <w:rsid w:val="00B53DE0"/>
    <w:rsid w:val="00B649E1"/>
    <w:rsid w:val="00B7260D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01C8"/>
    <w:rsid w:val="00C9071C"/>
    <w:rsid w:val="00CC520E"/>
    <w:rsid w:val="00CC59CA"/>
    <w:rsid w:val="00CD41CC"/>
    <w:rsid w:val="00CD5D7D"/>
    <w:rsid w:val="00CE1002"/>
    <w:rsid w:val="00CF2D14"/>
    <w:rsid w:val="00CF2DDE"/>
    <w:rsid w:val="00CF5ED3"/>
    <w:rsid w:val="00D01CF9"/>
    <w:rsid w:val="00D2443E"/>
    <w:rsid w:val="00D245ED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C705D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10DA3"/>
    <w:rsid w:val="00F13AE2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FD55-0AF3-42F2-8817-3E47B6A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Renee Ryan</cp:lastModifiedBy>
  <cp:revision>2</cp:revision>
  <cp:lastPrinted>2011-05-26T18:08:00Z</cp:lastPrinted>
  <dcterms:created xsi:type="dcterms:W3CDTF">2016-07-12T18:38:00Z</dcterms:created>
  <dcterms:modified xsi:type="dcterms:W3CDTF">2016-07-12T18:38:00Z</dcterms:modified>
</cp:coreProperties>
</file>