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3B" w:rsidRPr="000F3A8D" w:rsidRDefault="0041523B" w:rsidP="00ED3693">
      <w:pPr>
        <w:pStyle w:val="Heading1"/>
        <w:ind w:left="0"/>
      </w:pPr>
      <w:r w:rsidRPr="000F3A8D">
        <w:t>National Marrow Donor Program</w:t>
      </w:r>
      <w:r w:rsidR="000F3A8D" w:rsidRPr="000F3A8D">
        <w:t xml:space="preserve">  </w:t>
      </w:r>
      <w:r w:rsidR="000F3A8D" w:rsidRPr="000F3A8D">
        <w:tab/>
      </w:r>
      <w:r w:rsidR="000F3A8D" w:rsidRPr="000F3A8D">
        <w:tab/>
      </w:r>
      <w:r w:rsidR="00A75867">
        <w:tab/>
      </w:r>
      <w:r w:rsidR="00A75867">
        <w:tab/>
      </w:r>
      <w:r w:rsidR="00A75867">
        <w:tab/>
      </w:r>
      <w:r w:rsidR="00A75867">
        <w:tab/>
      </w:r>
      <w:r w:rsidR="009A4F94" w:rsidRPr="000F3A8D">
        <w:t xml:space="preserve">Record of Change </w:t>
      </w:r>
      <w:r w:rsidR="001E2ACA" w:rsidRPr="000F3A8D">
        <w:t>2</w:t>
      </w:r>
      <w:r w:rsidR="00E32753" w:rsidRPr="000F3A8D">
        <w:t>3</w:t>
      </w:r>
      <w:r w:rsidR="001E2ACA" w:rsidRPr="000F3A8D">
        <w:t xml:space="preserve">nd </w:t>
      </w:r>
      <w:r w:rsidRPr="000F3A8D">
        <w:t>Edition Standards</w:t>
      </w:r>
    </w:p>
    <w:tbl>
      <w:tblPr>
        <w:tblW w:w="13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4410"/>
        <w:gridCol w:w="4367"/>
        <w:gridCol w:w="2925"/>
      </w:tblGrid>
      <w:tr w:rsidR="000F3A8D" w:rsidRPr="000F3A8D" w:rsidTr="00BB6821">
        <w:trPr>
          <w:trHeight w:val="620"/>
          <w:tblHeader/>
        </w:trPr>
        <w:tc>
          <w:tcPr>
            <w:tcW w:w="1975" w:type="dxa"/>
            <w:shd w:val="clear" w:color="auto" w:fill="D9D9D9"/>
            <w:vAlign w:val="center"/>
          </w:tcPr>
          <w:p w:rsidR="000F3A8D" w:rsidRPr="000F3A8D" w:rsidRDefault="000F3A8D" w:rsidP="00F4592D">
            <w:pPr>
              <w:pStyle w:val="Heading2"/>
            </w:pPr>
            <w:r w:rsidRPr="000F3A8D">
              <w:t>22nd Edition S</w:t>
            </w:r>
            <w:r w:rsidR="00F4592D">
              <w:t>tandard</w:t>
            </w:r>
            <w:r w:rsidRPr="000F3A8D">
              <w:t xml:space="preserve"> #</w:t>
            </w:r>
            <w:r w:rsidR="00F4592D">
              <w:t>/Section</w:t>
            </w:r>
          </w:p>
        </w:tc>
        <w:tc>
          <w:tcPr>
            <w:tcW w:w="4410" w:type="dxa"/>
            <w:shd w:val="clear" w:color="auto" w:fill="D9D9D9"/>
            <w:vAlign w:val="center"/>
          </w:tcPr>
          <w:p w:rsidR="000F3A8D" w:rsidRPr="000F3A8D" w:rsidRDefault="000F3A8D" w:rsidP="000F3A8D">
            <w:pPr>
              <w:pStyle w:val="Heading2"/>
              <w:rPr>
                <w:szCs w:val="20"/>
              </w:rPr>
            </w:pPr>
            <w:r w:rsidRPr="000F3A8D">
              <w:t>22nd Edition Standard</w:t>
            </w:r>
          </w:p>
        </w:tc>
        <w:tc>
          <w:tcPr>
            <w:tcW w:w="4367" w:type="dxa"/>
            <w:shd w:val="clear" w:color="auto" w:fill="D9D9D9"/>
            <w:vAlign w:val="center"/>
          </w:tcPr>
          <w:p w:rsidR="000F3A8D" w:rsidRPr="000F3A8D" w:rsidRDefault="00F4592D" w:rsidP="00F4592D">
            <w:pPr>
              <w:pStyle w:val="Heading2"/>
            </w:pPr>
            <w:r>
              <w:t>Draft 23</w:t>
            </w:r>
            <w:r w:rsidRPr="00F4592D">
              <w:rPr>
                <w:vertAlign w:val="superscript"/>
              </w:rPr>
              <w:t>rd</w:t>
            </w:r>
            <w:r>
              <w:t xml:space="preserve"> Edition </w:t>
            </w:r>
            <w:r w:rsidR="00BB6821">
              <w:t>Standard</w:t>
            </w:r>
          </w:p>
        </w:tc>
        <w:tc>
          <w:tcPr>
            <w:tcW w:w="2925" w:type="dxa"/>
            <w:shd w:val="clear" w:color="auto" w:fill="D9D9D9"/>
            <w:vAlign w:val="center"/>
          </w:tcPr>
          <w:p w:rsidR="000F3A8D" w:rsidRPr="000F3A8D" w:rsidRDefault="000F3A8D" w:rsidP="00F4592D">
            <w:pPr>
              <w:pStyle w:val="Heading2"/>
            </w:pPr>
            <w:r w:rsidRPr="000F3A8D">
              <w:t>R</w:t>
            </w:r>
            <w:r w:rsidR="00F4592D">
              <w:t>ationale for Change</w:t>
            </w:r>
          </w:p>
        </w:tc>
      </w:tr>
      <w:tr w:rsidR="00E21C5C" w:rsidRPr="000F3A8D" w:rsidTr="00C54831">
        <w:trPr>
          <w:trHeight w:val="981"/>
        </w:trPr>
        <w:tc>
          <w:tcPr>
            <w:tcW w:w="1975" w:type="dxa"/>
          </w:tcPr>
          <w:p w:rsidR="00E21C5C" w:rsidRPr="009F03EA" w:rsidRDefault="00E21C5C" w:rsidP="00E21C5C">
            <w:pPr>
              <w:rPr>
                <w:b/>
              </w:rPr>
            </w:pPr>
            <w:r w:rsidRPr="009F03EA">
              <w:rPr>
                <w:b/>
              </w:rPr>
              <w:t>Notice and Disclaimer</w:t>
            </w:r>
          </w:p>
          <w:p w:rsidR="00E21C5C" w:rsidRPr="009F03EA" w:rsidRDefault="00E21C5C" w:rsidP="00E21C5C"/>
        </w:tc>
        <w:tc>
          <w:tcPr>
            <w:tcW w:w="4410" w:type="dxa"/>
          </w:tcPr>
          <w:p w:rsidR="00E21C5C" w:rsidRPr="009F03EA" w:rsidRDefault="00E21C5C" w:rsidP="00E21C5C">
            <w:r w:rsidRPr="009F03EA">
              <w:rPr>
                <w:bCs w:val="0"/>
                <w:iCs w:val="0"/>
                <w:color w:val="auto"/>
              </w:rPr>
              <w:t>These standards set forth only the basic guidelines for programs working through the NMDP to facilitate hematopoietic cell transplants</w:t>
            </w:r>
          </w:p>
        </w:tc>
        <w:tc>
          <w:tcPr>
            <w:tcW w:w="4367" w:type="dxa"/>
          </w:tcPr>
          <w:p w:rsidR="00E21C5C" w:rsidRPr="009F03EA" w:rsidRDefault="00E21C5C" w:rsidP="00A75867">
            <w:pPr>
              <w:tabs>
                <w:tab w:val="left" w:pos="2700"/>
                <w:tab w:val="left" w:pos="3456"/>
                <w:tab w:val="left" w:pos="4608"/>
                <w:tab w:val="left" w:pos="5760"/>
              </w:tabs>
              <w:ind w:left="0"/>
              <w:rPr>
                <w:bCs w:val="0"/>
                <w:iCs w:val="0"/>
                <w:color w:val="FF0000"/>
              </w:rPr>
            </w:pPr>
            <w:r w:rsidRPr="009F03EA">
              <w:rPr>
                <w:bCs w:val="0"/>
                <w:iCs w:val="0"/>
                <w:color w:val="auto"/>
              </w:rPr>
              <w:t xml:space="preserve">These standards set forth only the </w:t>
            </w:r>
            <w:r w:rsidR="009F03EA" w:rsidRPr="009F03EA">
              <w:rPr>
                <w:bCs w:val="0"/>
                <w:iCs w:val="0"/>
                <w:strike/>
                <w:color w:val="auto"/>
              </w:rPr>
              <w:t xml:space="preserve">basic guidelines </w:t>
            </w:r>
            <w:r w:rsidRPr="009F03EA">
              <w:rPr>
                <w:bCs w:val="0"/>
                <w:iCs w:val="0"/>
                <w:color w:val="FF0000"/>
              </w:rPr>
              <w:t>minimal</w:t>
            </w:r>
            <w:r w:rsidRPr="009F03EA">
              <w:rPr>
                <w:bCs w:val="0"/>
                <w:iCs w:val="0"/>
                <w:color w:val="auto"/>
              </w:rPr>
              <w:t xml:space="preserve"> </w:t>
            </w:r>
            <w:r w:rsidRPr="009F03EA">
              <w:rPr>
                <w:bCs w:val="0"/>
                <w:iCs w:val="0"/>
                <w:color w:val="FF0000"/>
              </w:rPr>
              <w:t>requirements</w:t>
            </w:r>
            <w:r w:rsidRPr="009F03EA">
              <w:rPr>
                <w:bCs w:val="0"/>
                <w:iCs w:val="0"/>
                <w:color w:val="auto"/>
              </w:rPr>
              <w:t xml:space="preserve"> for programs working through the NMDP to facilitate hematopoietic cell transplants</w:t>
            </w:r>
          </w:p>
        </w:tc>
        <w:tc>
          <w:tcPr>
            <w:tcW w:w="2925" w:type="dxa"/>
          </w:tcPr>
          <w:p w:rsidR="00E21C5C" w:rsidRPr="009F03EA" w:rsidRDefault="009F03EA" w:rsidP="00A75867">
            <w:r>
              <w:t>More correct.</w:t>
            </w:r>
          </w:p>
        </w:tc>
      </w:tr>
      <w:tr w:rsidR="00E21C5C" w:rsidRPr="000F3A8D" w:rsidTr="00C54831">
        <w:trPr>
          <w:trHeight w:val="981"/>
        </w:trPr>
        <w:tc>
          <w:tcPr>
            <w:tcW w:w="1975" w:type="dxa"/>
          </w:tcPr>
          <w:p w:rsidR="00E21C5C" w:rsidRPr="009F03EA" w:rsidRDefault="00E21C5C" w:rsidP="00A75867">
            <w:r w:rsidRPr="009F03EA">
              <w:t>1.1000</w:t>
            </w:r>
          </w:p>
        </w:tc>
        <w:tc>
          <w:tcPr>
            <w:tcW w:w="4410" w:type="dxa"/>
          </w:tcPr>
          <w:p w:rsidR="005F63EF" w:rsidRDefault="00E21C5C" w:rsidP="00A75867">
            <w:r w:rsidRPr="009F03EA">
              <w:t>These standards apply to activities performed by National Marrow Donor Program</w:t>
            </w:r>
            <w:r w:rsidRPr="009F03EA">
              <w:rPr>
                <w:vertAlign w:val="superscript"/>
              </w:rPr>
              <w:t>®</w:t>
            </w:r>
            <w:r w:rsidRPr="009F03EA">
              <w:t xml:space="preserve"> (NMDP) participating centers and include processes from donor recruitment to distribution and administration of cellular therapy products facilitated through NMDP.</w:t>
            </w:r>
          </w:p>
          <w:p w:rsidR="005F63EF" w:rsidRPr="009F03EA" w:rsidRDefault="005F63EF" w:rsidP="00A75867"/>
        </w:tc>
        <w:tc>
          <w:tcPr>
            <w:tcW w:w="4367" w:type="dxa"/>
          </w:tcPr>
          <w:p w:rsidR="00E21C5C" w:rsidRPr="009F03EA" w:rsidRDefault="00E21C5C" w:rsidP="00A75867">
            <w:pPr>
              <w:tabs>
                <w:tab w:val="left" w:pos="2700"/>
                <w:tab w:val="left" w:pos="3456"/>
                <w:tab w:val="left" w:pos="4608"/>
                <w:tab w:val="left" w:pos="5760"/>
              </w:tabs>
              <w:ind w:left="0"/>
              <w:rPr>
                <w:bCs w:val="0"/>
                <w:iCs w:val="0"/>
                <w:color w:val="FF0000"/>
              </w:rPr>
            </w:pPr>
            <w:r w:rsidRPr="009F03EA">
              <w:rPr>
                <w:bCs w:val="0"/>
                <w:iCs w:val="0"/>
                <w:color w:val="auto"/>
              </w:rPr>
              <w:t>Moved to Notice and Disclaimer</w:t>
            </w:r>
          </w:p>
        </w:tc>
        <w:tc>
          <w:tcPr>
            <w:tcW w:w="2925" w:type="dxa"/>
          </w:tcPr>
          <w:p w:rsidR="00E21C5C" w:rsidRPr="009F03EA" w:rsidRDefault="009F03EA" w:rsidP="00A75867">
            <w:r>
              <w:t xml:space="preserve">More appropriate place, rather than being listed as a standard. </w:t>
            </w:r>
          </w:p>
        </w:tc>
      </w:tr>
      <w:tr w:rsidR="005F63EF" w:rsidRPr="000F3A8D" w:rsidTr="00C54831">
        <w:trPr>
          <w:trHeight w:val="981"/>
        </w:trPr>
        <w:tc>
          <w:tcPr>
            <w:tcW w:w="1975" w:type="dxa"/>
          </w:tcPr>
          <w:p w:rsidR="005F63EF" w:rsidRPr="009F03EA" w:rsidRDefault="005F63EF" w:rsidP="00A166C8">
            <w:r>
              <w:t>Renumbering Standard</w:t>
            </w:r>
            <w:r w:rsidR="00A166C8">
              <w:t>s</w:t>
            </w:r>
            <w:r>
              <w:t xml:space="preserve"> </w:t>
            </w:r>
          </w:p>
        </w:tc>
        <w:tc>
          <w:tcPr>
            <w:tcW w:w="4410" w:type="dxa"/>
          </w:tcPr>
          <w:p w:rsidR="005F63EF" w:rsidRDefault="005F63EF" w:rsidP="00A75867">
            <w:r>
              <w:t>1.1100</w:t>
            </w:r>
          </w:p>
          <w:p w:rsidR="005F63EF" w:rsidRDefault="005F63EF" w:rsidP="00A75867">
            <w:r>
              <w:t>1.1200</w:t>
            </w:r>
          </w:p>
          <w:p w:rsidR="005F63EF" w:rsidRDefault="005F63EF" w:rsidP="00A75867">
            <w:r>
              <w:t>1.2000</w:t>
            </w:r>
          </w:p>
          <w:p w:rsidR="005F63EF" w:rsidRDefault="005F63EF" w:rsidP="00A75867">
            <w:r>
              <w:t>1.3000</w:t>
            </w:r>
          </w:p>
          <w:p w:rsidR="005F63EF" w:rsidRDefault="005F63EF" w:rsidP="00A75867">
            <w:r>
              <w:t>1.3100</w:t>
            </w:r>
          </w:p>
          <w:p w:rsidR="005F63EF" w:rsidRDefault="005F63EF" w:rsidP="00A75867">
            <w:r>
              <w:t>1.3110</w:t>
            </w:r>
          </w:p>
          <w:p w:rsidR="005F63EF" w:rsidRDefault="005F63EF" w:rsidP="00A75867">
            <w:r>
              <w:t>1.3200</w:t>
            </w:r>
          </w:p>
          <w:p w:rsidR="005F63EF" w:rsidRDefault="005F63EF" w:rsidP="00A75867">
            <w:r>
              <w:t>1.4000</w:t>
            </w:r>
          </w:p>
          <w:p w:rsidR="005F63EF" w:rsidRDefault="005F63EF" w:rsidP="00A75867">
            <w:r>
              <w:t>1.5000</w:t>
            </w:r>
          </w:p>
          <w:p w:rsidR="005F63EF" w:rsidRDefault="005F63EF" w:rsidP="00A75867">
            <w:r>
              <w:t>1.5100</w:t>
            </w:r>
          </w:p>
          <w:p w:rsidR="005F63EF" w:rsidRDefault="005F63EF" w:rsidP="00A75867">
            <w:r>
              <w:t>1.5200</w:t>
            </w:r>
          </w:p>
          <w:p w:rsidR="00407FBD" w:rsidRDefault="00407FBD" w:rsidP="00A75867">
            <w:r>
              <w:t>1.5300</w:t>
            </w:r>
          </w:p>
          <w:p w:rsidR="00407FBD" w:rsidRDefault="00407FBD" w:rsidP="00A75867">
            <w:r>
              <w:t>1.6000</w:t>
            </w:r>
          </w:p>
          <w:p w:rsidR="00407FBD" w:rsidRDefault="00407FBD" w:rsidP="00A75867">
            <w:r>
              <w:t>1.7000</w:t>
            </w:r>
          </w:p>
          <w:p w:rsidR="00407FBD" w:rsidRDefault="00407FBD" w:rsidP="00A75867">
            <w:r>
              <w:t>1.7100</w:t>
            </w:r>
          </w:p>
          <w:p w:rsidR="00407FBD" w:rsidRDefault="00407FBD" w:rsidP="00A75867">
            <w:r>
              <w:t>1.7200</w:t>
            </w:r>
          </w:p>
          <w:p w:rsidR="00407FBD" w:rsidRDefault="00407FBD" w:rsidP="00A75867">
            <w:r>
              <w:t>1.7300</w:t>
            </w:r>
          </w:p>
          <w:p w:rsidR="00407FBD" w:rsidRDefault="00407FBD" w:rsidP="00A75867">
            <w:r>
              <w:t>1.8000</w:t>
            </w:r>
          </w:p>
          <w:p w:rsidR="00407FBD" w:rsidRDefault="00407FBD" w:rsidP="00A75867">
            <w:r>
              <w:t>1.9000</w:t>
            </w:r>
          </w:p>
          <w:p w:rsidR="00407FBD" w:rsidRPr="009F03EA" w:rsidRDefault="00407FBD" w:rsidP="00A75867">
            <w:r>
              <w:t>1.10000</w:t>
            </w:r>
          </w:p>
        </w:tc>
        <w:tc>
          <w:tcPr>
            <w:tcW w:w="4367" w:type="dxa"/>
          </w:tcPr>
          <w:p w:rsidR="005F63EF" w:rsidRDefault="005F63EF" w:rsidP="00A75867">
            <w:pPr>
              <w:tabs>
                <w:tab w:val="left" w:pos="2700"/>
                <w:tab w:val="left" w:pos="3456"/>
                <w:tab w:val="left" w:pos="4608"/>
                <w:tab w:val="left" w:pos="5760"/>
              </w:tabs>
              <w:ind w:left="0"/>
              <w:rPr>
                <w:bCs w:val="0"/>
                <w:iCs w:val="0"/>
                <w:color w:val="auto"/>
              </w:rPr>
            </w:pPr>
            <w:r>
              <w:rPr>
                <w:bCs w:val="0"/>
                <w:iCs w:val="0"/>
                <w:color w:val="auto"/>
              </w:rPr>
              <w:t>1.1000</w:t>
            </w:r>
          </w:p>
          <w:p w:rsidR="005F63EF" w:rsidRDefault="005F63EF" w:rsidP="00A75867">
            <w:pPr>
              <w:tabs>
                <w:tab w:val="left" w:pos="2700"/>
                <w:tab w:val="left" w:pos="3456"/>
                <w:tab w:val="left" w:pos="4608"/>
                <w:tab w:val="left" w:pos="5760"/>
              </w:tabs>
              <w:ind w:left="0"/>
              <w:rPr>
                <w:bCs w:val="0"/>
                <w:iCs w:val="0"/>
                <w:color w:val="auto"/>
              </w:rPr>
            </w:pPr>
            <w:r>
              <w:rPr>
                <w:bCs w:val="0"/>
                <w:iCs w:val="0"/>
                <w:color w:val="auto"/>
              </w:rPr>
              <w:t>1.2000</w:t>
            </w:r>
          </w:p>
          <w:p w:rsidR="005F63EF" w:rsidRDefault="005F63EF" w:rsidP="00A75867">
            <w:pPr>
              <w:tabs>
                <w:tab w:val="left" w:pos="2700"/>
                <w:tab w:val="left" w:pos="3456"/>
                <w:tab w:val="left" w:pos="4608"/>
                <w:tab w:val="left" w:pos="5760"/>
              </w:tabs>
              <w:ind w:left="0"/>
              <w:rPr>
                <w:bCs w:val="0"/>
                <w:iCs w:val="0"/>
                <w:color w:val="auto"/>
              </w:rPr>
            </w:pPr>
            <w:r>
              <w:rPr>
                <w:bCs w:val="0"/>
                <w:iCs w:val="0"/>
                <w:color w:val="auto"/>
              </w:rPr>
              <w:t>1.3000</w:t>
            </w:r>
          </w:p>
          <w:p w:rsidR="005F63EF" w:rsidRDefault="005F63EF" w:rsidP="00A75867">
            <w:pPr>
              <w:tabs>
                <w:tab w:val="left" w:pos="2700"/>
                <w:tab w:val="left" w:pos="3456"/>
                <w:tab w:val="left" w:pos="4608"/>
                <w:tab w:val="left" w:pos="5760"/>
              </w:tabs>
              <w:ind w:left="0"/>
              <w:rPr>
                <w:bCs w:val="0"/>
                <w:iCs w:val="0"/>
                <w:color w:val="auto"/>
              </w:rPr>
            </w:pPr>
            <w:r>
              <w:rPr>
                <w:bCs w:val="0"/>
                <w:iCs w:val="0"/>
                <w:color w:val="auto"/>
              </w:rPr>
              <w:t>1.4000</w:t>
            </w:r>
          </w:p>
          <w:p w:rsidR="005F63EF" w:rsidRDefault="005F63EF" w:rsidP="00A75867">
            <w:pPr>
              <w:tabs>
                <w:tab w:val="left" w:pos="2700"/>
                <w:tab w:val="left" w:pos="3456"/>
                <w:tab w:val="left" w:pos="4608"/>
                <w:tab w:val="left" w:pos="5760"/>
              </w:tabs>
              <w:ind w:left="0"/>
              <w:rPr>
                <w:bCs w:val="0"/>
                <w:iCs w:val="0"/>
                <w:color w:val="auto"/>
              </w:rPr>
            </w:pPr>
            <w:r>
              <w:rPr>
                <w:bCs w:val="0"/>
                <w:iCs w:val="0"/>
                <w:color w:val="auto"/>
              </w:rPr>
              <w:t>1.4100</w:t>
            </w:r>
          </w:p>
          <w:p w:rsidR="005F63EF" w:rsidRDefault="005F63EF" w:rsidP="00A75867">
            <w:pPr>
              <w:tabs>
                <w:tab w:val="left" w:pos="2700"/>
                <w:tab w:val="left" w:pos="3456"/>
                <w:tab w:val="left" w:pos="4608"/>
                <w:tab w:val="left" w:pos="5760"/>
              </w:tabs>
              <w:ind w:left="0"/>
              <w:rPr>
                <w:bCs w:val="0"/>
                <w:iCs w:val="0"/>
                <w:color w:val="auto"/>
              </w:rPr>
            </w:pPr>
            <w:r>
              <w:rPr>
                <w:bCs w:val="0"/>
                <w:iCs w:val="0"/>
                <w:color w:val="auto"/>
              </w:rPr>
              <w:t>1.4110</w:t>
            </w:r>
          </w:p>
          <w:p w:rsidR="005F63EF" w:rsidRDefault="005F63EF" w:rsidP="00A75867">
            <w:pPr>
              <w:tabs>
                <w:tab w:val="left" w:pos="2700"/>
                <w:tab w:val="left" w:pos="3456"/>
                <w:tab w:val="left" w:pos="4608"/>
                <w:tab w:val="left" w:pos="5760"/>
              </w:tabs>
              <w:ind w:left="0"/>
              <w:rPr>
                <w:bCs w:val="0"/>
                <w:iCs w:val="0"/>
                <w:color w:val="auto"/>
              </w:rPr>
            </w:pPr>
            <w:r>
              <w:rPr>
                <w:bCs w:val="0"/>
                <w:iCs w:val="0"/>
                <w:color w:val="auto"/>
              </w:rPr>
              <w:t>1.4200</w:t>
            </w:r>
          </w:p>
          <w:p w:rsidR="005F63EF" w:rsidRDefault="005F63EF" w:rsidP="00A75867">
            <w:pPr>
              <w:tabs>
                <w:tab w:val="left" w:pos="2700"/>
                <w:tab w:val="left" w:pos="3456"/>
                <w:tab w:val="left" w:pos="4608"/>
                <w:tab w:val="left" w:pos="5760"/>
              </w:tabs>
              <w:ind w:left="0"/>
              <w:rPr>
                <w:bCs w:val="0"/>
                <w:iCs w:val="0"/>
                <w:color w:val="auto"/>
              </w:rPr>
            </w:pPr>
            <w:r>
              <w:rPr>
                <w:bCs w:val="0"/>
                <w:iCs w:val="0"/>
                <w:color w:val="auto"/>
              </w:rPr>
              <w:t>1.5000</w:t>
            </w:r>
          </w:p>
          <w:p w:rsidR="005F63EF" w:rsidRDefault="005F63EF" w:rsidP="00A75867">
            <w:pPr>
              <w:tabs>
                <w:tab w:val="left" w:pos="2700"/>
                <w:tab w:val="left" w:pos="3456"/>
                <w:tab w:val="left" w:pos="4608"/>
                <w:tab w:val="left" w:pos="5760"/>
              </w:tabs>
              <w:ind w:left="0"/>
              <w:rPr>
                <w:bCs w:val="0"/>
                <w:iCs w:val="0"/>
                <w:color w:val="auto"/>
              </w:rPr>
            </w:pPr>
            <w:r>
              <w:rPr>
                <w:bCs w:val="0"/>
                <w:iCs w:val="0"/>
                <w:color w:val="auto"/>
              </w:rPr>
              <w:t>1.6000</w:t>
            </w:r>
          </w:p>
          <w:p w:rsidR="005F63EF" w:rsidRDefault="005F63EF" w:rsidP="00A75867">
            <w:pPr>
              <w:tabs>
                <w:tab w:val="left" w:pos="2700"/>
                <w:tab w:val="left" w:pos="3456"/>
                <w:tab w:val="left" w:pos="4608"/>
                <w:tab w:val="left" w:pos="5760"/>
              </w:tabs>
              <w:ind w:left="0"/>
              <w:rPr>
                <w:bCs w:val="0"/>
                <w:iCs w:val="0"/>
                <w:color w:val="auto"/>
              </w:rPr>
            </w:pPr>
            <w:r>
              <w:rPr>
                <w:bCs w:val="0"/>
                <w:iCs w:val="0"/>
                <w:color w:val="auto"/>
              </w:rPr>
              <w:t>1.6100</w:t>
            </w:r>
          </w:p>
          <w:p w:rsidR="005F63EF" w:rsidRDefault="005F63EF" w:rsidP="00A75867">
            <w:pPr>
              <w:tabs>
                <w:tab w:val="left" w:pos="2700"/>
                <w:tab w:val="left" w:pos="3456"/>
                <w:tab w:val="left" w:pos="4608"/>
                <w:tab w:val="left" w:pos="5760"/>
              </w:tabs>
              <w:ind w:left="0"/>
              <w:rPr>
                <w:bCs w:val="0"/>
                <w:iCs w:val="0"/>
                <w:color w:val="auto"/>
              </w:rPr>
            </w:pPr>
            <w:r>
              <w:rPr>
                <w:bCs w:val="0"/>
                <w:iCs w:val="0"/>
                <w:color w:val="auto"/>
              </w:rPr>
              <w:t>1.6200</w:t>
            </w:r>
          </w:p>
          <w:p w:rsidR="00407FBD" w:rsidRDefault="00407FBD" w:rsidP="00A75867">
            <w:pPr>
              <w:tabs>
                <w:tab w:val="left" w:pos="2700"/>
                <w:tab w:val="left" w:pos="3456"/>
                <w:tab w:val="left" w:pos="4608"/>
                <w:tab w:val="left" w:pos="5760"/>
              </w:tabs>
              <w:ind w:left="0"/>
              <w:rPr>
                <w:bCs w:val="0"/>
                <w:iCs w:val="0"/>
                <w:color w:val="auto"/>
              </w:rPr>
            </w:pPr>
            <w:r>
              <w:rPr>
                <w:bCs w:val="0"/>
                <w:iCs w:val="0"/>
                <w:color w:val="auto"/>
              </w:rPr>
              <w:t>1.6300</w:t>
            </w:r>
          </w:p>
          <w:p w:rsidR="00407FBD" w:rsidRDefault="00407FBD" w:rsidP="00A75867">
            <w:pPr>
              <w:tabs>
                <w:tab w:val="left" w:pos="2700"/>
                <w:tab w:val="left" w:pos="3456"/>
                <w:tab w:val="left" w:pos="4608"/>
                <w:tab w:val="left" w:pos="5760"/>
              </w:tabs>
              <w:ind w:left="0"/>
              <w:rPr>
                <w:bCs w:val="0"/>
                <w:iCs w:val="0"/>
                <w:color w:val="auto"/>
              </w:rPr>
            </w:pPr>
            <w:r>
              <w:rPr>
                <w:bCs w:val="0"/>
                <w:iCs w:val="0"/>
                <w:color w:val="auto"/>
              </w:rPr>
              <w:t>1.7000</w:t>
            </w:r>
          </w:p>
          <w:p w:rsidR="00407FBD" w:rsidRDefault="00407FBD" w:rsidP="00A75867">
            <w:pPr>
              <w:tabs>
                <w:tab w:val="left" w:pos="2700"/>
                <w:tab w:val="left" w:pos="3456"/>
                <w:tab w:val="left" w:pos="4608"/>
                <w:tab w:val="left" w:pos="5760"/>
              </w:tabs>
              <w:ind w:left="0"/>
              <w:rPr>
                <w:bCs w:val="0"/>
                <w:iCs w:val="0"/>
                <w:color w:val="auto"/>
              </w:rPr>
            </w:pPr>
            <w:r>
              <w:rPr>
                <w:bCs w:val="0"/>
                <w:iCs w:val="0"/>
                <w:color w:val="auto"/>
              </w:rPr>
              <w:t>1.8000</w:t>
            </w:r>
          </w:p>
          <w:p w:rsidR="00407FBD" w:rsidRDefault="00407FBD" w:rsidP="00A75867">
            <w:pPr>
              <w:tabs>
                <w:tab w:val="left" w:pos="2700"/>
                <w:tab w:val="left" w:pos="3456"/>
                <w:tab w:val="left" w:pos="4608"/>
                <w:tab w:val="left" w:pos="5760"/>
              </w:tabs>
              <w:ind w:left="0"/>
              <w:rPr>
                <w:bCs w:val="0"/>
                <w:iCs w:val="0"/>
                <w:color w:val="auto"/>
              </w:rPr>
            </w:pPr>
            <w:r>
              <w:rPr>
                <w:bCs w:val="0"/>
                <w:iCs w:val="0"/>
                <w:color w:val="auto"/>
              </w:rPr>
              <w:t>1.8100</w:t>
            </w:r>
          </w:p>
          <w:p w:rsidR="00407FBD" w:rsidRDefault="00407FBD" w:rsidP="00A75867">
            <w:pPr>
              <w:tabs>
                <w:tab w:val="left" w:pos="2700"/>
                <w:tab w:val="left" w:pos="3456"/>
                <w:tab w:val="left" w:pos="4608"/>
                <w:tab w:val="left" w:pos="5760"/>
              </w:tabs>
              <w:ind w:left="0"/>
              <w:rPr>
                <w:bCs w:val="0"/>
                <w:iCs w:val="0"/>
                <w:color w:val="auto"/>
              </w:rPr>
            </w:pPr>
            <w:r>
              <w:rPr>
                <w:bCs w:val="0"/>
                <w:iCs w:val="0"/>
                <w:color w:val="auto"/>
              </w:rPr>
              <w:t>1.8200</w:t>
            </w:r>
          </w:p>
          <w:p w:rsidR="00407FBD" w:rsidRDefault="00407FBD" w:rsidP="00A75867">
            <w:pPr>
              <w:tabs>
                <w:tab w:val="left" w:pos="2700"/>
                <w:tab w:val="left" w:pos="3456"/>
                <w:tab w:val="left" w:pos="4608"/>
                <w:tab w:val="left" w:pos="5760"/>
              </w:tabs>
              <w:ind w:left="0"/>
              <w:rPr>
                <w:bCs w:val="0"/>
                <w:iCs w:val="0"/>
                <w:color w:val="auto"/>
              </w:rPr>
            </w:pPr>
            <w:r>
              <w:rPr>
                <w:bCs w:val="0"/>
                <w:iCs w:val="0"/>
                <w:color w:val="auto"/>
              </w:rPr>
              <w:t>1.8300</w:t>
            </w:r>
          </w:p>
          <w:p w:rsidR="00407FBD" w:rsidRDefault="00407FBD" w:rsidP="00A75867">
            <w:pPr>
              <w:tabs>
                <w:tab w:val="left" w:pos="2700"/>
                <w:tab w:val="left" w:pos="3456"/>
                <w:tab w:val="left" w:pos="4608"/>
                <w:tab w:val="left" w:pos="5760"/>
              </w:tabs>
              <w:ind w:left="0"/>
              <w:rPr>
                <w:bCs w:val="0"/>
                <w:iCs w:val="0"/>
                <w:color w:val="auto"/>
              </w:rPr>
            </w:pPr>
            <w:r>
              <w:rPr>
                <w:bCs w:val="0"/>
                <w:iCs w:val="0"/>
                <w:color w:val="auto"/>
              </w:rPr>
              <w:t>1.9000</w:t>
            </w:r>
          </w:p>
          <w:p w:rsidR="00407FBD" w:rsidRDefault="00407FBD" w:rsidP="00A75867">
            <w:pPr>
              <w:tabs>
                <w:tab w:val="left" w:pos="2700"/>
                <w:tab w:val="left" w:pos="3456"/>
                <w:tab w:val="left" w:pos="4608"/>
                <w:tab w:val="left" w:pos="5760"/>
              </w:tabs>
              <w:ind w:left="0"/>
              <w:rPr>
                <w:bCs w:val="0"/>
                <w:iCs w:val="0"/>
                <w:color w:val="auto"/>
              </w:rPr>
            </w:pPr>
            <w:r>
              <w:rPr>
                <w:bCs w:val="0"/>
                <w:iCs w:val="0"/>
                <w:color w:val="auto"/>
              </w:rPr>
              <w:t>1.10000</w:t>
            </w:r>
          </w:p>
          <w:p w:rsidR="00407FBD" w:rsidRPr="009F03EA" w:rsidRDefault="00470AFC" w:rsidP="00470AFC">
            <w:pPr>
              <w:tabs>
                <w:tab w:val="left" w:pos="2700"/>
                <w:tab w:val="left" w:pos="3456"/>
                <w:tab w:val="left" w:pos="4608"/>
                <w:tab w:val="left" w:pos="5760"/>
              </w:tabs>
              <w:ind w:left="0"/>
              <w:rPr>
                <w:bCs w:val="0"/>
                <w:iCs w:val="0"/>
                <w:color w:val="auto"/>
              </w:rPr>
            </w:pPr>
            <w:r>
              <w:rPr>
                <w:bCs w:val="0"/>
                <w:iCs w:val="0"/>
                <w:color w:val="auto"/>
              </w:rPr>
              <w:t>1.11</w:t>
            </w:r>
            <w:r w:rsidR="00407FBD">
              <w:rPr>
                <w:bCs w:val="0"/>
                <w:iCs w:val="0"/>
                <w:color w:val="auto"/>
              </w:rPr>
              <w:t>000</w:t>
            </w:r>
          </w:p>
        </w:tc>
        <w:tc>
          <w:tcPr>
            <w:tcW w:w="2925" w:type="dxa"/>
          </w:tcPr>
          <w:p w:rsidR="005F63EF" w:rsidRDefault="00407FBD" w:rsidP="00A75867">
            <w:r>
              <w:t xml:space="preserve">1.1000 moved to Notice and Disclaimer; </w:t>
            </w:r>
            <w:r w:rsidR="004D027D">
              <w:t xml:space="preserve">standards </w:t>
            </w:r>
            <w:r>
              <w:t>renumbered accordingly.</w:t>
            </w:r>
          </w:p>
        </w:tc>
      </w:tr>
      <w:tr w:rsidR="00A75867" w:rsidRPr="000F3A8D" w:rsidTr="00C54831">
        <w:trPr>
          <w:trHeight w:val="981"/>
        </w:trPr>
        <w:tc>
          <w:tcPr>
            <w:tcW w:w="1975" w:type="dxa"/>
          </w:tcPr>
          <w:p w:rsidR="009F03EA" w:rsidRDefault="009F03EA" w:rsidP="00A75867">
            <w:r>
              <w:t xml:space="preserve">2.1500 </w:t>
            </w:r>
          </w:p>
          <w:p w:rsidR="00A75867" w:rsidRPr="009F03EA" w:rsidRDefault="009F03EA" w:rsidP="00A75867">
            <w:r>
              <w:t>NEW</w:t>
            </w:r>
          </w:p>
        </w:tc>
        <w:tc>
          <w:tcPr>
            <w:tcW w:w="4410" w:type="dxa"/>
          </w:tcPr>
          <w:p w:rsidR="00A75867" w:rsidRPr="009F03EA" w:rsidRDefault="00A75867" w:rsidP="00A75867"/>
          <w:p w:rsidR="00A75867" w:rsidRPr="009F03EA" w:rsidRDefault="00A75867" w:rsidP="00A75867"/>
        </w:tc>
        <w:tc>
          <w:tcPr>
            <w:tcW w:w="4367" w:type="dxa"/>
          </w:tcPr>
          <w:p w:rsidR="00A75867" w:rsidRPr="009F03EA" w:rsidRDefault="00A75867" w:rsidP="00A75867">
            <w:pPr>
              <w:tabs>
                <w:tab w:val="left" w:pos="2700"/>
                <w:tab w:val="left" w:pos="3456"/>
                <w:tab w:val="left" w:pos="4608"/>
                <w:tab w:val="left" w:pos="5760"/>
              </w:tabs>
              <w:ind w:left="0"/>
              <w:rPr>
                <w:color w:val="FF0000"/>
              </w:rPr>
            </w:pPr>
            <w:r w:rsidRPr="009F03EA">
              <w:rPr>
                <w:bCs w:val="0"/>
                <w:iCs w:val="0"/>
                <w:color w:val="FF0000"/>
              </w:rPr>
              <w:t>2.1500 Center shall be registered with FDA for applicable manufacturing functions.</w:t>
            </w:r>
          </w:p>
          <w:p w:rsidR="00A75867" w:rsidRPr="009F03EA" w:rsidRDefault="00A75867" w:rsidP="00A75867">
            <w:pPr>
              <w:rPr>
                <w:color w:val="FF0000"/>
              </w:rPr>
            </w:pPr>
          </w:p>
        </w:tc>
        <w:tc>
          <w:tcPr>
            <w:tcW w:w="2925" w:type="dxa"/>
          </w:tcPr>
          <w:p w:rsidR="00A75867" w:rsidRPr="009F03EA" w:rsidRDefault="00A75867" w:rsidP="00A75867">
            <w:r w:rsidRPr="009F03EA">
              <w:t xml:space="preserve">Added to align with participation criteria and requirements for other centers.   </w:t>
            </w:r>
          </w:p>
        </w:tc>
      </w:tr>
      <w:tr w:rsidR="00486633" w:rsidRPr="000F3A8D" w:rsidTr="00C54831">
        <w:trPr>
          <w:trHeight w:val="981"/>
        </w:trPr>
        <w:tc>
          <w:tcPr>
            <w:tcW w:w="1975" w:type="dxa"/>
          </w:tcPr>
          <w:p w:rsidR="00486633" w:rsidRDefault="00486633" w:rsidP="00A75867">
            <w:r>
              <w:t>4.000</w:t>
            </w:r>
            <w:r w:rsidR="00C54831">
              <w:t>0</w:t>
            </w:r>
          </w:p>
          <w:p w:rsidR="00C54831" w:rsidRDefault="00C54831" w:rsidP="00A75867"/>
        </w:tc>
        <w:tc>
          <w:tcPr>
            <w:tcW w:w="4410" w:type="dxa"/>
          </w:tcPr>
          <w:p w:rsidR="00486633" w:rsidRPr="00C54831" w:rsidRDefault="00486633" w:rsidP="00C54831">
            <w:r w:rsidRPr="00C54831">
              <w:t>Criteria for Participating Cord Blood Banks</w:t>
            </w:r>
          </w:p>
          <w:p w:rsidR="00C54831" w:rsidRPr="00C54831" w:rsidRDefault="00C54831" w:rsidP="00C54831">
            <w:r w:rsidRPr="00C54831">
              <w:t>4.1000 Facility Characteristics</w:t>
            </w:r>
          </w:p>
          <w:p w:rsidR="00C54831" w:rsidRPr="00C54831" w:rsidRDefault="00C54831" w:rsidP="00C54831">
            <w:r w:rsidRPr="00C54831">
              <w:t>Facility Characteristics</w:t>
            </w:r>
          </w:p>
          <w:p w:rsidR="00C54831" w:rsidRPr="00C54831" w:rsidRDefault="00C54831" w:rsidP="00C54831">
            <w:r w:rsidRPr="00C54831">
              <w:t>4.1100</w:t>
            </w:r>
            <w:r w:rsidRPr="00C54831">
              <w:tab/>
              <w:t>Bank shall be registered with the FDA.</w:t>
            </w:r>
          </w:p>
          <w:p w:rsidR="00C54831" w:rsidRPr="00C54831" w:rsidRDefault="00C54831" w:rsidP="00C54831">
            <w:r w:rsidRPr="00C54831">
              <w:t>4.1200</w:t>
            </w:r>
            <w:r w:rsidRPr="00C54831">
              <w:tab/>
              <w:t>Bank shall have experience in cord blood recruitment.</w:t>
            </w:r>
          </w:p>
          <w:p w:rsidR="00C54831" w:rsidRPr="00C54831" w:rsidRDefault="00C54831" w:rsidP="00C54831">
            <w:r w:rsidRPr="00C54831">
              <w:t>4.1300</w:t>
            </w:r>
            <w:r w:rsidRPr="00C54831">
              <w:tab/>
              <w:t xml:space="preserve">Bank shall have adequate and secure facilities for manufacturing </w:t>
            </w:r>
            <w:proofErr w:type="gramStart"/>
            <w:r w:rsidRPr="00C54831">
              <w:t>HPC(</w:t>
            </w:r>
            <w:proofErr w:type="gramEnd"/>
            <w:r w:rsidRPr="00C54831">
              <w:t>CB).</w:t>
            </w:r>
          </w:p>
          <w:p w:rsidR="00C54831" w:rsidRPr="00C54831" w:rsidRDefault="00C54831" w:rsidP="00C54831">
            <w:r w:rsidRPr="00C54831">
              <w:t>4.1400</w:t>
            </w:r>
            <w:r w:rsidRPr="00C54831">
              <w:tab/>
              <w:t>Bank shall have written agreements to collect cord blood.</w:t>
            </w:r>
          </w:p>
          <w:p w:rsidR="00C54831" w:rsidRPr="00C54831" w:rsidRDefault="00C54831" w:rsidP="00C54831">
            <w:bookmarkStart w:id="0" w:name="_Toc535916223"/>
            <w:bookmarkStart w:id="1" w:name="_Toc23737693"/>
            <w:bookmarkStart w:id="2" w:name="_Toc21847674"/>
            <w:r w:rsidRPr="00C54831">
              <w:tab/>
              <w:t>4.1500</w:t>
            </w:r>
            <w:r w:rsidRPr="00C54831">
              <w:tab/>
              <w:t>Bank shall maintain accreditation by AABB, FACT-JACIE, and/or NetCord-FACT (See Resources).</w:t>
            </w:r>
          </w:p>
          <w:p w:rsidR="00C54831" w:rsidRPr="00C54831" w:rsidRDefault="00C54831" w:rsidP="00C54831">
            <w:bookmarkStart w:id="3" w:name="_Toc207004281"/>
            <w:bookmarkStart w:id="4" w:name="_Toc371584516"/>
            <w:r w:rsidRPr="00C54831">
              <w:t>4.2000</w:t>
            </w:r>
            <w:r w:rsidRPr="00C54831">
              <w:tab/>
              <w:t>Medical Director</w:t>
            </w:r>
            <w:bookmarkEnd w:id="0"/>
            <w:bookmarkEnd w:id="1"/>
            <w:bookmarkEnd w:id="2"/>
            <w:bookmarkEnd w:id="3"/>
            <w:bookmarkEnd w:id="4"/>
          </w:p>
          <w:p w:rsidR="00C54831" w:rsidRPr="00C54831" w:rsidRDefault="00C54831" w:rsidP="00C54831">
            <w:r w:rsidRPr="00C54831">
              <w:t>4.2100</w:t>
            </w:r>
            <w:r w:rsidRPr="00C54831">
              <w:tab/>
              <w:t>Bank medical director shall have postdoctoral training in hematopoietic cell transplantation, blood or tissue banking, basic or clinical immunology, immunohematology or cryobiology.</w:t>
            </w:r>
          </w:p>
          <w:p w:rsidR="00C54831" w:rsidRPr="00C54831" w:rsidRDefault="00C54831" w:rsidP="00C54831">
            <w:r w:rsidRPr="00C54831">
              <w:t>4.2200</w:t>
            </w:r>
            <w:r w:rsidRPr="00C54831">
              <w:tab/>
              <w:t>Bank medical director shall be responsible for review of the medical evaluation of the donor and biologic mother for evidence of disease transmissible by transplantation.</w:t>
            </w:r>
          </w:p>
          <w:p w:rsidR="00C54831" w:rsidRPr="00C54831" w:rsidRDefault="00C54831" w:rsidP="00C54831">
            <w:r w:rsidRPr="00C54831">
              <w:t>4.2300</w:t>
            </w:r>
            <w:r w:rsidRPr="00C54831">
              <w:tab/>
              <w:t>Bank medical director shall be responsible for: recruitment, informed consent, evaluation and follow-up of the potential donor, and shall participate in the development of the procedures for the collection, processing, testing, banking, selection and release of the unit.</w:t>
            </w:r>
            <w:bookmarkStart w:id="5" w:name="_Toc535916224"/>
            <w:bookmarkStart w:id="6" w:name="_Toc23737694"/>
            <w:bookmarkStart w:id="7" w:name="_Toc21847675"/>
            <w:bookmarkStart w:id="8" w:name="_Toc207004282"/>
          </w:p>
          <w:p w:rsidR="00C54831" w:rsidRPr="00C54831" w:rsidRDefault="00C54831" w:rsidP="00C54831">
            <w:bookmarkStart w:id="9" w:name="_Toc371584517"/>
            <w:r w:rsidRPr="00C54831">
              <w:t>4.3000</w:t>
            </w:r>
            <w:r w:rsidRPr="00C54831">
              <w:tab/>
              <w:t>Personnel</w:t>
            </w:r>
            <w:bookmarkEnd w:id="5"/>
            <w:bookmarkEnd w:id="6"/>
            <w:bookmarkEnd w:id="7"/>
            <w:bookmarkEnd w:id="8"/>
            <w:bookmarkEnd w:id="9"/>
          </w:p>
          <w:p w:rsidR="00C54831" w:rsidRPr="00C54831" w:rsidRDefault="00C54831" w:rsidP="00C54831">
            <w:r w:rsidRPr="00C54831">
              <w:t>4.3100</w:t>
            </w:r>
            <w:r w:rsidRPr="00C54831">
              <w:tab/>
              <w:t>Bank shall designate a coordinator to work with the NMDP.</w:t>
            </w:r>
          </w:p>
          <w:p w:rsidR="00C54831" w:rsidRPr="00C54831" w:rsidRDefault="00C54831" w:rsidP="00C54831">
            <w:r w:rsidRPr="00C54831">
              <w:t>4.3200</w:t>
            </w:r>
            <w:r w:rsidRPr="00C54831">
              <w:tab/>
              <w:t xml:space="preserve">Bank shall have adequate trained and competent personnel available to perform tasks related to </w:t>
            </w:r>
            <w:proofErr w:type="gramStart"/>
            <w:r w:rsidRPr="00C54831">
              <w:t>HPC(</w:t>
            </w:r>
            <w:proofErr w:type="gramEnd"/>
            <w:r w:rsidRPr="00C54831">
              <w:t>CB) manufacturing and sample management.</w:t>
            </w:r>
          </w:p>
          <w:p w:rsidR="00C54831" w:rsidRPr="00C54831" w:rsidRDefault="00C54831" w:rsidP="00C54831">
            <w:r w:rsidRPr="00C54831">
              <w:t>4.3300</w:t>
            </w:r>
            <w:r w:rsidRPr="00C54831">
              <w:tab/>
              <w:t>Bank should have a designated, independent Quality Unit to audit, monitor, and authorize release of cord blood units as defined in facility-specific procedures.</w:t>
            </w:r>
          </w:p>
          <w:p w:rsidR="00C54831" w:rsidRPr="00C54831" w:rsidRDefault="00C54831" w:rsidP="00C54831">
            <w:bookmarkStart w:id="10" w:name="_Toc535916225"/>
            <w:bookmarkStart w:id="11" w:name="_Toc23737695"/>
            <w:bookmarkStart w:id="12" w:name="_Toc21847676"/>
            <w:bookmarkStart w:id="13" w:name="_Toc207004283"/>
            <w:bookmarkStart w:id="14" w:name="_Toc371584518"/>
            <w:r w:rsidRPr="00C54831">
              <w:t>4.4000</w:t>
            </w:r>
            <w:r w:rsidRPr="00C54831">
              <w:tab/>
              <w:t>Support Services</w:t>
            </w:r>
            <w:bookmarkEnd w:id="10"/>
            <w:bookmarkEnd w:id="11"/>
            <w:bookmarkEnd w:id="12"/>
            <w:bookmarkEnd w:id="13"/>
            <w:bookmarkEnd w:id="14"/>
          </w:p>
          <w:p w:rsidR="00C54831" w:rsidRPr="00C54831" w:rsidRDefault="00C54831" w:rsidP="00C54831">
            <w:r w:rsidRPr="00C54831">
              <w:t>4.4100</w:t>
            </w:r>
            <w:r w:rsidRPr="00C54831">
              <w:tab/>
              <w:t>Bank shall use the following facilities for NMDP activities:</w:t>
            </w:r>
          </w:p>
          <w:p w:rsidR="00C54831" w:rsidRPr="00C54831" w:rsidRDefault="00C54831" w:rsidP="00C54831">
            <w:r w:rsidRPr="00C54831">
              <w:t>4.4110</w:t>
            </w:r>
            <w:r w:rsidRPr="00C54831">
              <w:tab/>
              <w:t>HLA-typing laboratory(</w:t>
            </w:r>
            <w:proofErr w:type="spellStart"/>
            <w:r w:rsidRPr="00C54831">
              <w:t>ies</w:t>
            </w:r>
            <w:proofErr w:type="spellEnd"/>
            <w:r w:rsidRPr="00C54831">
              <w:t>) accredited by the American Society for Histocompatibility and Immunogenetics (ASHI), the European Federation for Immunogenetics (EFI), and/or the College of American Pathologists (CAP) for HLA typing required by NMDP.</w:t>
            </w:r>
          </w:p>
          <w:p w:rsidR="00C54831" w:rsidRPr="00C54831" w:rsidRDefault="00C54831" w:rsidP="00C54831">
            <w:r w:rsidRPr="00C54831">
              <w:t>4.4120</w:t>
            </w:r>
            <w:r w:rsidRPr="00C54831">
              <w:tab/>
            </w:r>
            <w:proofErr w:type="gramStart"/>
            <w:r w:rsidRPr="00C54831">
              <w:t>Laboratory(</w:t>
            </w:r>
            <w:proofErr w:type="spellStart"/>
            <w:proofErr w:type="gramEnd"/>
            <w:r w:rsidRPr="00C54831">
              <w:t>ies</w:t>
            </w:r>
            <w:proofErr w:type="spellEnd"/>
            <w:r w:rsidRPr="00C54831">
              <w:t>) that perform eligibility testing for evidence of infection due to relevant communicable disease agents must use donor screening tests that the FDA has approved, licensed or cleared for such use and testing shall be performed in accordance with the manufacturer’s instructions (See Resources).</w:t>
            </w:r>
          </w:p>
          <w:p w:rsidR="00C54831" w:rsidRPr="00C54831" w:rsidRDefault="00C54831" w:rsidP="00C54831">
            <w:r w:rsidRPr="00C54831">
              <w:t>4.4130</w:t>
            </w:r>
            <w:r w:rsidRPr="00C54831">
              <w:tab/>
              <w:t>Cord blood collection sites accredited by an organization granted deemed status by Centers for Medicare &amp; Medicaid Services (CMS) or non-U.S. equivalent and/or birth centers accredited by the Commission for the Accreditation of Birth Centers (CABC).</w:t>
            </w:r>
          </w:p>
          <w:p w:rsidR="00C54831" w:rsidRPr="00C54831" w:rsidRDefault="00C54831" w:rsidP="00C54831">
            <w:bookmarkStart w:id="15" w:name="_Toc535916226"/>
            <w:bookmarkStart w:id="16" w:name="_Toc23737696"/>
            <w:bookmarkStart w:id="17" w:name="_Toc21847677"/>
            <w:bookmarkStart w:id="18" w:name="_Toc207004284"/>
            <w:bookmarkStart w:id="19" w:name="_Toc371584519"/>
            <w:r w:rsidRPr="00C54831">
              <w:t>4.5000</w:t>
            </w:r>
            <w:r w:rsidRPr="00C54831">
              <w:tab/>
              <w:t>Policies and Procedures</w:t>
            </w:r>
            <w:bookmarkEnd w:id="15"/>
            <w:bookmarkEnd w:id="16"/>
            <w:bookmarkEnd w:id="17"/>
            <w:bookmarkEnd w:id="18"/>
            <w:bookmarkEnd w:id="19"/>
          </w:p>
          <w:p w:rsidR="00C54831" w:rsidRPr="00C54831" w:rsidRDefault="00C54831" w:rsidP="00C54831">
            <w:r w:rsidRPr="00C54831">
              <w:t>4.5100</w:t>
            </w:r>
            <w:r w:rsidRPr="00C54831">
              <w:tab/>
              <w:t>Bank shall have written procedures for the qualification of cord blood collection facilities and personnel.</w:t>
            </w:r>
          </w:p>
          <w:p w:rsidR="00C54831" w:rsidRPr="00C54831" w:rsidRDefault="00C54831" w:rsidP="00C54831">
            <w:r w:rsidRPr="00C54831">
              <w:t>4.5200</w:t>
            </w:r>
            <w:r w:rsidRPr="00C54831">
              <w:tab/>
              <w:t xml:space="preserve">Bank shall have written procedures for recruitment, donor selection, obtaining maternal health and family history, infectious disease marker testing, and for </w:t>
            </w:r>
            <w:proofErr w:type="gramStart"/>
            <w:r w:rsidRPr="00C54831">
              <w:t>HPC(</w:t>
            </w:r>
            <w:proofErr w:type="gramEnd"/>
            <w:r w:rsidRPr="00C54831">
              <w:t>CB) collection, processing, labeling, storage and transportation.</w:t>
            </w:r>
          </w:p>
          <w:p w:rsidR="00C54831" w:rsidRPr="00C54831" w:rsidRDefault="00C54831" w:rsidP="00C54831">
            <w:r w:rsidRPr="00C54831">
              <w:t>4.5300</w:t>
            </w:r>
            <w:r w:rsidRPr="00C54831">
              <w:tab/>
              <w:t xml:space="preserve">Bank shall have written policies and procedures for the release and issue of </w:t>
            </w:r>
            <w:proofErr w:type="gramStart"/>
            <w:r w:rsidRPr="00C54831">
              <w:t>HPC(</w:t>
            </w:r>
            <w:proofErr w:type="gramEnd"/>
            <w:r w:rsidRPr="00C54831">
              <w:t>CB) units and for the return to inventory of unused cryopreserved units.</w:t>
            </w:r>
          </w:p>
          <w:p w:rsidR="00486633" w:rsidRPr="00ED3693" w:rsidRDefault="00486633" w:rsidP="00A75867">
            <w:pPr>
              <w:rPr>
                <w:b/>
              </w:rPr>
            </w:pPr>
          </w:p>
        </w:tc>
        <w:tc>
          <w:tcPr>
            <w:tcW w:w="4367" w:type="dxa"/>
          </w:tcPr>
          <w:p w:rsidR="00C54831" w:rsidRPr="00C54831" w:rsidRDefault="00C54831" w:rsidP="00C54831">
            <w:r w:rsidRPr="00C54831">
              <w:t>Criteria for Participating Cord Blood Banks</w:t>
            </w:r>
          </w:p>
          <w:p w:rsidR="00C54831" w:rsidRPr="00C54831" w:rsidRDefault="00C54831" w:rsidP="00C54831">
            <w:pPr>
              <w:rPr>
                <w:strike/>
              </w:rPr>
            </w:pPr>
            <w:r w:rsidRPr="00C54831">
              <w:rPr>
                <w:strike/>
              </w:rPr>
              <w:t>4.1000 Facility Characteristics</w:t>
            </w:r>
          </w:p>
          <w:p w:rsidR="00C54831" w:rsidRPr="00C54831" w:rsidRDefault="00C54831" w:rsidP="00C54831">
            <w:pPr>
              <w:rPr>
                <w:strike/>
              </w:rPr>
            </w:pPr>
            <w:r w:rsidRPr="00C54831">
              <w:rPr>
                <w:strike/>
              </w:rPr>
              <w:t>Facility Characteristics</w:t>
            </w:r>
          </w:p>
          <w:p w:rsidR="00C54831" w:rsidRPr="00C54831" w:rsidRDefault="00C54831" w:rsidP="00C54831">
            <w:pPr>
              <w:rPr>
                <w:strike/>
              </w:rPr>
            </w:pPr>
            <w:r w:rsidRPr="00C54831">
              <w:rPr>
                <w:strike/>
              </w:rPr>
              <w:t>4.1100</w:t>
            </w:r>
            <w:r w:rsidRPr="00C54831">
              <w:rPr>
                <w:strike/>
              </w:rPr>
              <w:tab/>
              <w:t>Bank shall be registered with the FDA.</w:t>
            </w:r>
          </w:p>
          <w:p w:rsidR="00C54831" w:rsidRPr="00C54831" w:rsidRDefault="00C54831" w:rsidP="00C54831">
            <w:pPr>
              <w:rPr>
                <w:strike/>
              </w:rPr>
            </w:pPr>
            <w:r w:rsidRPr="00C54831">
              <w:rPr>
                <w:strike/>
              </w:rPr>
              <w:t>4.1200</w:t>
            </w:r>
            <w:r w:rsidRPr="00C54831">
              <w:rPr>
                <w:strike/>
              </w:rPr>
              <w:tab/>
              <w:t>Bank shall have experience in cord blood recruitment.</w:t>
            </w:r>
          </w:p>
          <w:p w:rsidR="00C54831" w:rsidRPr="00C54831" w:rsidRDefault="00C54831" w:rsidP="00C54831">
            <w:pPr>
              <w:rPr>
                <w:strike/>
              </w:rPr>
            </w:pPr>
            <w:r w:rsidRPr="00C54831">
              <w:rPr>
                <w:strike/>
              </w:rPr>
              <w:t>4.1300</w:t>
            </w:r>
            <w:r w:rsidRPr="00C54831">
              <w:rPr>
                <w:strike/>
              </w:rPr>
              <w:tab/>
              <w:t xml:space="preserve">Bank shall have adequate and secure facilities for manufacturing </w:t>
            </w:r>
            <w:proofErr w:type="gramStart"/>
            <w:r w:rsidRPr="00C54831">
              <w:rPr>
                <w:strike/>
              </w:rPr>
              <w:t>HPC(</w:t>
            </w:r>
            <w:proofErr w:type="gramEnd"/>
            <w:r w:rsidRPr="00C54831">
              <w:rPr>
                <w:strike/>
              </w:rPr>
              <w:t>CB).</w:t>
            </w:r>
          </w:p>
          <w:p w:rsidR="00C54831" w:rsidRPr="00C54831" w:rsidRDefault="00C54831" w:rsidP="00C54831">
            <w:pPr>
              <w:rPr>
                <w:strike/>
              </w:rPr>
            </w:pPr>
            <w:r w:rsidRPr="00C54831">
              <w:rPr>
                <w:strike/>
              </w:rPr>
              <w:t>4.1400</w:t>
            </w:r>
            <w:r w:rsidRPr="00C54831">
              <w:rPr>
                <w:strike/>
              </w:rPr>
              <w:tab/>
              <w:t>Bank shall have written agreements to collect cord blood.</w:t>
            </w:r>
          </w:p>
          <w:p w:rsidR="00C54831" w:rsidRPr="00C54831" w:rsidRDefault="00C54831" w:rsidP="00C54831">
            <w:r w:rsidRPr="00C54831">
              <w:t>4.1</w:t>
            </w:r>
            <w:r w:rsidRPr="00C54831">
              <w:rPr>
                <w:color w:val="FF0000"/>
              </w:rPr>
              <w:t>000</w:t>
            </w:r>
            <w:r w:rsidRPr="00C54831">
              <w:rPr>
                <w:strike/>
              </w:rPr>
              <w:t>500</w:t>
            </w:r>
            <w:r>
              <w:rPr>
                <w:strike/>
              </w:rPr>
              <w:t xml:space="preserve"> </w:t>
            </w:r>
            <w:r w:rsidRPr="00C54831">
              <w:t>Bank shall maintain accreditation by AABB, FACT-JACIE, and/or NetCord-FACT (See Resources).</w:t>
            </w:r>
          </w:p>
          <w:p w:rsidR="00C54831" w:rsidRPr="00C54831" w:rsidRDefault="00C54831" w:rsidP="00C54831">
            <w:pPr>
              <w:rPr>
                <w:color w:val="FF0000"/>
              </w:rPr>
            </w:pPr>
            <w:r w:rsidRPr="00C54831">
              <w:t>4.2000</w:t>
            </w:r>
            <w:r w:rsidRPr="00C54831">
              <w:tab/>
            </w:r>
            <w:r w:rsidRPr="00C54831">
              <w:rPr>
                <w:strike/>
              </w:rPr>
              <w:t>Medical Director4.2000</w:t>
            </w:r>
            <w:r w:rsidRPr="00C54831">
              <w:rPr>
                <w:strike/>
              </w:rPr>
              <w:tab/>
            </w:r>
            <w:r>
              <w:rPr>
                <w:strike/>
              </w:rPr>
              <w:t xml:space="preserve"> </w:t>
            </w:r>
            <w:r w:rsidRPr="00C54831">
              <w:rPr>
                <w:color w:val="FF0000"/>
              </w:rPr>
              <w:t>Bank shall follow NMDP Participation Criteria.</w:t>
            </w:r>
          </w:p>
          <w:p w:rsidR="00C54831" w:rsidRPr="00C54831" w:rsidRDefault="00C54831" w:rsidP="00C54831">
            <w:pPr>
              <w:rPr>
                <w:color w:val="FF0000"/>
              </w:rPr>
            </w:pPr>
          </w:p>
          <w:p w:rsidR="00C54831" w:rsidRPr="00C54831" w:rsidRDefault="00C54831" w:rsidP="00C54831">
            <w:pPr>
              <w:rPr>
                <w:strike/>
              </w:rPr>
            </w:pPr>
            <w:r w:rsidRPr="00C54831">
              <w:rPr>
                <w:strike/>
              </w:rPr>
              <w:t>4.2100</w:t>
            </w:r>
            <w:r w:rsidRPr="00C54831">
              <w:rPr>
                <w:strike/>
              </w:rPr>
              <w:tab/>
              <w:t>Bank medical director shall have postdoctoral training in hematopoietic cell transplantation, blood or tissue banking, basic or clinical immunology, immunohematology or cryobiology.</w:t>
            </w:r>
          </w:p>
          <w:p w:rsidR="00C54831" w:rsidRPr="00C54831" w:rsidRDefault="00C54831" w:rsidP="00C54831">
            <w:pPr>
              <w:rPr>
                <w:strike/>
              </w:rPr>
            </w:pPr>
            <w:r w:rsidRPr="00C54831">
              <w:rPr>
                <w:strike/>
              </w:rPr>
              <w:t>4.2200</w:t>
            </w:r>
            <w:r w:rsidRPr="00C54831">
              <w:rPr>
                <w:strike/>
              </w:rPr>
              <w:tab/>
              <w:t>Bank medical director shall be responsible for review of the medical evaluation of the donor and biologic mother for evidence of disease transmissible by transplantation.</w:t>
            </w:r>
          </w:p>
          <w:p w:rsidR="00C54831" w:rsidRPr="00C54831" w:rsidRDefault="00C54831" w:rsidP="00C54831">
            <w:pPr>
              <w:rPr>
                <w:strike/>
              </w:rPr>
            </w:pPr>
            <w:r w:rsidRPr="00C54831">
              <w:rPr>
                <w:strike/>
              </w:rPr>
              <w:t>4.2300</w:t>
            </w:r>
            <w:r w:rsidRPr="00C54831">
              <w:rPr>
                <w:strike/>
              </w:rPr>
              <w:tab/>
              <w:t>Bank medical director shall be responsible for: recruitment, informed consent, evaluation and follow-up of the potential donor, and shall participate in the development of the procedures for the collection, processing, testing, banking, selection and release of the unit.</w:t>
            </w:r>
          </w:p>
          <w:p w:rsidR="00C54831" w:rsidRPr="00C54831" w:rsidRDefault="00C54831" w:rsidP="00C54831">
            <w:pPr>
              <w:rPr>
                <w:strike/>
              </w:rPr>
            </w:pPr>
            <w:r w:rsidRPr="00C54831">
              <w:rPr>
                <w:strike/>
              </w:rPr>
              <w:t>4.3000</w:t>
            </w:r>
            <w:r w:rsidRPr="00C54831">
              <w:rPr>
                <w:strike/>
              </w:rPr>
              <w:tab/>
              <w:t>Personnel</w:t>
            </w:r>
          </w:p>
          <w:p w:rsidR="00C54831" w:rsidRPr="00C54831" w:rsidRDefault="00C54831" w:rsidP="00C54831">
            <w:pPr>
              <w:rPr>
                <w:strike/>
              </w:rPr>
            </w:pPr>
            <w:r w:rsidRPr="00C54831">
              <w:rPr>
                <w:strike/>
              </w:rPr>
              <w:t>4.3100</w:t>
            </w:r>
            <w:r w:rsidRPr="00C54831">
              <w:rPr>
                <w:strike/>
              </w:rPr>
              <w:tab/>
              <w:t>Bank shall designate a coordinator to work with the NMDP.</w:t>
            </w:r>
          </w:p>
          <w:p w:rsidR="00C54831" w:rsidRPr="00C54831" w:rsidRDefault="00C54831" w:rsidP="00C54831">
            <w:pPr>
              <w:rPr>
                <w:strike/>
              </w:rPr>
            </w:pPr>
            <w:r w:rsidRPr="00C54831">
              <w:rPr>
                <w:strike/>
              </w:rPr>
              <w:t>4.3200</w:t>
            </w:r>
            <w:r w:rsidRPr="00C54831">
              <w:rPr>
                <w:strike/>
              </w:rPr>
              <w:tab/>
              <w:t xml:space="preserve">Bank shall have adequate trained and competent personnel available to perform tasks related to </w:t>
            </w:r>
            <w:proofErr w:type="gramStart"/>
            <w:r w:rsidRPr="00C54831">
              <w:rPr>
                <w:strike/>
              </w:rPr>
              <w:t>HPC(</w:t>
            </w:r>
            <w:proofErr w:type="gramEnd"/>
            <w:r w:rsidRPr="00C54831">
              <w:rPr>
                <w:strike/>
              </w:rPr>
              <w:t>CB) manufacturing and sample management.</w:t>
            </w:r>
          </w:p>
          <w:p w:rsidR="00C54831" w:rsidRPr="00C54831" w:rsidRDefault="00C54831" w:rsidP="00C54831">
            <w:pPr>
              <w:rPr>
                <w:strike/>
              </w:rPr>
            </w:pPr>
            <w:r w:rsidRPr="00C54831">
              <w:rPr>
                <w:strike/>
              </w:rPr>
              <w:t>4.3300</w:t>
            </w:r>
            <w:r w:rsidRPr="00C54831">
              <w:rPr>
                <w:strike/>
              </w:rPr>
              <w:tab/>
              <w:t>Bank should have a designated, independent Quality Unit to audit, monitor, and authorize release of cord blood units as defined in facility-specific procedures.</w:t>
            </w:r>
          </w:p>
          <w:p w:rsidR="00C54831" w:rsidRPr="00C54831" w:rsidRDefault="00C54831" w:rsidP="00C54831">
            <w:pPr>
              <w:rPr>
                <w:strike/>
              </w:rPr>
            </w:pPr>
            <w:r w:rsidRPr="00C54831">
              <w:rPr>
                <w:strike/>
              </w:rPr>
              <w:t>4.4000</w:t>
            </w:r>
            <w:r w:rsidRPr="00C54831">
              <w:rPr>
                <w:strike/>
              </w:rPr>
              <w:tab/>
              <w:t>Support Services</w:t>
            </w:r>
          </w:p>
          <w:p w:rsidR="00C54831" w:rsidRPr="00C54831" w:rsidRDefault="00C54831" w:rsidP="00C54831">
            <w:pPr>
              <w:rPr>
                <w:strike/>
              </w:rPr>
            </w:pPr>
            <w:r w:rsidRPr="00C54831">
              <w:rPr>
                <w:strike/>
              </w:rPr>
              <w:t>4.4100</w:t>
            </w:r>
            <w:r w:rsidRPr="00C54831">
              <w:rPr>
                <w:strike/>
              </w:rPr>
              <w:tab/>
              <w:t>Bank shall use the following facilities for NMDP activities:</w:t>
            </w:r>
          </w:p>
          <w:p w:rsidR="00C54831" w:rsidRPr="00C54831" w:rsidRDefault="00C54831" w:rsidP="00C54831">
            <w:pPr>
              <w:rPr>
                <w:strike/>
              </w:rPr>
            </w:pPr>
            <w:r w:rsidRPr="00C54831">
              <w:rPr>
                <w:strike/>
              </w:rPr>
              <w:t>4.4110</w:t>
            </w:r>
            <w:r w:rsidRPr="00C54831">
              <w:rPr>
                <w:strike/>
              </w:rPr>
              <w:tab/>
              <w:t>HLA-typing laboratory(</w:t>
            </w:r>
            <w:proofErr w:type="spellStart"/>
            <w:r w:rsidRPr="00C54831">
              <w:rPr>
                <w:strike/>
              </w:rPr>
              <w:t>ies</w:t>
            </w:r>
            <w:proofErr w:type="spellEnd"/>
            <w:r w:rsidRPr="00C54831">
              <w:rPr>
                <w:strike/>
              </w:rPr>
              <w:t>) accredited by the American Society for Histocompatibility and Immunogenetics (ASHI), the European Federation for Immunogenetics (EFI), and/or the College of American Pathologists (CAP) for HLA typing required by NMDP.</w:t>
            </w:r>
          </w:p>
          <w:p w:rsidR="00C54831" w:rsidRPr="00C54831" w:rsidRDefault="00C54831" w:rsidP="00C54831">
            <w:pPr>
              <w:rPr>
                <w:strike/>
              </w:rPr>
            </w:pPr>
            <w:r w:rsidRPr="00C54831">
              <w:rPr>
                <w:strike/>
              </w:rPr>
              <w:t>4.4120</w:t>
            </w:r>
            <w:r w:rsidRPr="00C54831">
              <w:rPr>
                <w:strike/>
              </w:rPr>
              <w:tab/>
            </w:r>
            <w:proofErr w:type="gramStart"/>
            <w:r w:rsidRPr="00C54831">
              <w:rPr>
                <w:strike/>
              </w:rPr>
              <w:t>Laboratory(</w:t>
            </w:r>
            <w:proofErr w:type="spellStart"/>
            <w:proofErr w:type="gramEnd"/>
            <w:r w:rsidRPr="00C54831">
              <w:rPr>
                <w:strike/>
              </w:rPr>
              <w:t>ies</w:t>
            </w:r>
            <w:proofErr w:type="spellEnd"/>
            <w:r w:rsidRPr="00C54831">
              <w:rPr>
                <w:strike/>
              </w:rPr>
              <w:t>) that perform eligibility testing for evidence of infection due to relevant communicable disease agents must use donor screening tests that the FDA has approved, licensed or cleared for such use and testing shall be performed in accordance with the manufacturer’s instructions (See Resources).</w:t>
            </w:r>
          </w:p>
          <w:p w:rsidR="00C54831" w:rsidRPr="00C54831" w:rsidRDefault="00C54831" w:rsidP="00C54831">
            <w:pPr>
              <w:rPr>
                <w:strike/>
              </w:rPr>
            </w:pPr>
            <w:r w:rsidRPr="00C54831">
              <w:rPr>
                <w:strike/>
              </w:rPr>
              <w:t>4.4130</w:t>
            </w:r>
            <w:r w:rsidRPr="00C54831">
              <w:rPr>
                <w:strike/>
              </w:rPr>
              <w:tab/>
              <w:t>Cord blood collection sites accredited by an organization granted deemed status by</w:t>
            </w:r>
            <w:r w:rsidRPr="00C54831">
              <w:t xml:space="preserve"> </w:t>
            </w:r>
            <w:r w:rsidRPr="00C54831">
              <w:rPr>
                <w:strike/>
              </w:rPr>
              <w:t>Centers for Medicare &amp; Medicaid Services (CMS) or non-U.S. equivalent and/or birth centers accredited by the Commission for the Accreditation of Birth Centers (CABC).</w:t>
            </w:r>
          </w:p>
          <w:p w:rsidR="00C54831" w:rsidRPr="00C54831" w:rsidRDefault="00C54831" w:rsidP="00C54831">
            <w:pPr>
              <w:rPr>
                <w:strike/>
              </w:rPr>
            </w:pPr>
            <w:r w:rsidRPr="00C54831">
              <w:rPr>
                <w:strike/>
              </w:rPr>
              <w:t>4.5000</w:t>
            </w:r>
            <w:r w:rsidRPr="00C54831">
              <w:rPr>
                <w:strike/>
              </w:rPr>
              <w:tab/>
              <w:t>Policies and Procedures</w:t>
            </w:r>
          </w:p>
          <w:p w:rsidR="00C54831" w:rsidRPr="00C54831" w:rsidRDefault="00C54831" w:rsidP="00C54831">
            <w:pPr>
              <w:rPr>
                <w:strike/>
              </w:rPr>
            </w:pPr>
            <w:r w:rsidRPr="00C54831">
              <w:rPr>
                <w:strike/>
              </w:rPr>
              <w:t>4.5100</w:t>
            </w:r>
            <w:r w:rsidRPr="00C54831">
              <w:rPr>
                <w:strike/>
              </w:rPr>
              <w:tab/>
              <w:t>Bank shall have written procedures for the qualification of cord blood collection facilities and personnel.</w:t>
            </w:r>
          </w:p>
          <w:p w:rsidR="00C54831" w:rsidRPr="00C54831" w:rsidRDefault="00C54831" w:rsidP="00C54831">
            <w:pPr>
              <w:rPr>
                <w:strike/>
              </w:rPr>
            </w:pPr>
            <w:r w:rsidRPr="00C54831">
              <w:rPr>
                <w:strike/>
              </w:rPr>
              <w:t>4.5200</w:t>
            </w:r>
            <w:r w:rsidRPr="00C54831">
              <w:rPr>
                <w:strike/>
              </w:rPr>
              <w:tab/>
              <w:t xml:space="preserve">Bank shall have written procedures for recruitment, donor selection, obtaining maternal health and family history, infectious disease marker testing, and for </w:t>
            </w:r>
            <w:proofErr w:type="gramStart"/>
            <w:r w:rsidRPr="00C54831">
              <w:rPr>
                <w:strike/>
              </w:rPr>
              <w:t>HPC(</w:t>
            </w:r>
            <w:proofErr w:type="gramEnd"/>
            <w:r w:rsidRPr="00C54831">
              <w:rPr>
                <w:strike/>
              </w:rPr>
              <w:t>CB) collection, processing, labeling, storage and transportation.</w:t>
            </w:r>
          </w:p>
          <w:p w:rsidR="00C54831" w:rsidRPr="009F03EA" w:rsidRDefault="00C54831" w:rsidP="00A166C8">
            <w:pPr>
              <w:rPr>
                <w:bCs w:val="0"/>
                <w:iCs w:val="0"/>
                <w:color w:val="FF0000"/>
              </w:rPr>
            </w:pPr>
            <w:r w:rsidRPr="00C54831">
              <w:rPr>
                <w:strike/>
              </w:rPr>
              <w:t>4.5300</w:t>
            </w:r>
            <w:r w:rsidRPr="00C54831">
              <w:rPr>
                <w:strike/>
              </w:rPr>
              <w:tab/>
              <w:t xml:space="preserve">Bank shall have written policies and procedures for the release and issue of </w:t>
            </w:r>
            <w:proofErr w:type="gramStart"/>
            <w:r w:rsidRPr="00C54831">
              <w:rPr>
                <w:strike/>
              </w:rPr>
              <w:t>HPC(</w:t>
            </w:r>
            <w:proofErr w:type="gramEnd"/>
            <w:r w:rsidRPr="00C54831">
              <w:rPr>
                <w:strike/>
              </w:rPr>
              <w:t>CB) units and for the return to inventory of unused cryopreserved units.</w:t>
            </w:r>
          </w:p>
        </w:tc>
        <w:tc>
          <w:tcPr>
            <w:tcW w:w="2925" w:type="dxa"/>
          </w:tcPr>
          <w:p w:rsidR="00486633" w:rsidRPr="009F03EA" w:rsidRDefault="00486633" w:rsidP="00486633">
            <w:r>
              <w:t xml:space="preserve">AABB and NetCord-FACT requirements cover most all of what was required by NMDP standards. Anything else will be added to Participation Criteria. </w:t>
            </w:r>
          </w:p>
        </w:tc>
      </w:tr>
      <w:tr w:rsidR="0075012A" w:rsidRPr="000F3A8D" w:rsidTr="00C54831">
        <w:trPr>
          <w:trHeight w:val="720"/>
        </w:trPr>
        <w:tc>
          <w:tcPr>
            <w:tcW w:w="1975" w:type="dxa"/>
          </w:tcPr>
          <w:p w:rsidR="0075012A" w:rsidRPr="009F03EA" w:rsidRDefault="0075012A" w:rsidP="00A75867">
            <w:r>
              <w:t>5.3300</w:t>
            </w:r>
          </w:p>
        </w:tc>
        <w:tc>
          <w:tcPr>
            <w:tcW w:w="4410" w:type="dxa"/>
          </w:tcPr>
          <w:p w:rsidR="0075012A" w:rsidRPr="009F03EA" w:rsidRDefault="0075012A" w:rsidP="00A75867">
            <w:r w:rsidRPr="0075012A">
              <w:rPr>
                <w:color w:val="auto"/>
              </w:rPr>
              <w:t>Center shall provide anesthesia under supervision of a licensed, board-certified anesthesiologist</w:t>
            </w:r>
            <w:r>
              <w:rPr>
                <w:color w:val="auto"/>
              </w:rPr>
              <w:t>.</w:t>
            </w:r>
          </w:p>
        </w:tc>
        <w:tc>
          <w:tcPr>
            <w:tcW w:w="4367" w:type="dxa"/>
          </w:tcPr>
          <w:p w:rsidR="0075012A" w:rsidRPr="0075012A" w:rsidRDefault="0075012A" w:rsidP="0075012A">
            <w:pPr>
              <w:rPr>
                <w:color w:val="auto"/>
              </w:rPr>
            </w:pPr>
            <w:r w:rsidRPr="0075012A">
              <w:rPr>
                <w:color w:val="auto"/>
              </w:rPr>
              <w:t xml:space="preserve">Center shall provide anesthesia under supervision of a licensed, board-certified anesthesiologist </w:t>
            </w:r>
            <w:r w:rsidRPr="0075012A">
              <w:rPr>
                <w:color w:val="FF0000"/>
              </w:rPr>
              <w:t>or certified nurse anesthetist</w:t>
            </w:r>
            <w:r w:rsidRPr="0075012A">
              <w:rPr>
                <w:color w:val="auto"/>
              </w:rPr>
              <w:t>.</w:t>
            </w:r>
          </w:p>
          <w:p w:rsidR="0075012A" w:rsidRPr="009F03EA" w:rsidRDefault="0075012A" w:rsidP="00A75867">
            <w:pPr>
              <w:rPr>
                <w:strike/>
                <w:color w:val="auto"/>
              </w:rPr>
            </w:pPr>
          </w:p>
        </w:tc>
        <w:tc>
          <w:tcPr>
            <w:tcW w:w="2925" w:type="dxa"/>
          </w:tcPr>
          <w:p w:rsidR="0075012A" w:rsidRPr="009F03EA" w:rsidRDefault="0075012A" w:rsidP="00A75867">
            <w:r>
              <w:t>More inclusive.</w:t>
            </w:r>
          </w:p>
        </w:tc>
      </w:tr>
      <w:tr w:rsidR="00A75867" w:rsidRPr="000F3A8D" w:rsidTr="00C54831">
        <w:trPr>
          <w:trHeight w:val="720"/>
        </w:trPr>
        <w:tc>
          <w:tcPr>
            <w:tcW w:w="1975" w:type="dxa"/>
          </w:tcPr>
          <w:p w:rsidR="00A75867" w:rsidRPr="009F03EA" w:rsidRDefault="00A75867" w:rsidP="00A75867">
            <w:r w:rsidRPr="009F03EA">
              <w:t>6.4200</w:t>
            </w:r>
          </w:p>
        </w:tc>
        <w:tc>
          <w:tcPr>
            <w:tcW w:w="4410" w:type="dxa"/>
          </w:tcPr>
          <w:p w:rsidR="00A75867" w:rsidRPr="009F03EA" w:rsidRDefault="00A75867" w:rsidP="00A75867">
            <w:r w:rsidRPr="009F03EA">
              <w:t>Center shall have appropriate apheresis equipment, supplies and pharmaceuticals.</w:t>
            </w:r>
          </w:p>
        </w:tc>
        <w:tc>
          <w:tcPr>
            <w:tcW w:w="4367" w:type="dxa"/>
          </w:tcPr>
          <w:p w:rsidR="00A75867" w:rsidRPr="009F03EA" w:rsidRDefault="00A75867" w:rsidP="00A75867">
            <w:pPr>
              <w:rPr>
                <w:strike/>
                <w:color w:val="auto"/>
              </w:rPr>
            </w:pPr>
            <w:r w:rsidRPr="009F03EA">
              <w:rPr>
                <w:strike/>
                <w:color w:val="auto"/>
              </w:rPr>
              <w:t>Center shall have appropriate apheresis equipment, supplies and pharmaceuticals.</w:t>
            </w:r>
          </w:p>
        </w:tc>
        <w:tc>
          <w:tcPr>
            <w:tcW w:w="2925" w:type="dxa"/>
          </w:tcPr>
          <w:p w:rsidR="00A75867" w:rsidRPr="009F03EA" w:rsidRDefault="00A75867" w:rsidP="00A75867">
            <w:r w:rsidRPr="009F03EA">
              <w:t>Covered under 1.1100</w:t>
            </w:r>
          </w:p>
        </w:tc>
      </w:tr>
      <w:tr w:rsidR="00176379" w:rsidRPr="000F3A8D" w:rsidTr="00C54831">
        <w:trPr>
          <w:trHeight w:val="720"/>
        </w:trPr>
        <w:tc>
          <w:tcPr>
            <w:tcW w:w="1975" w:type="dxa"/>
          </w:tcPr>
          <w:p w:rsidR="00176379" w:rsidRPr="009F03EA" w:rsidRDefault="00176379" w:rsidP="00A166C8">
            <w:r>
              <w:t>Renumbering standard</w:t>
            </w:r>
          </w:p>
        </w:tc>
        <w:tc>
          <w:tcPr>
            <w:tcW w:w="4410" w:type="dxa"/>
          </w:tcPr>
          <w:p w:rsidR="00176379" w:rsidRPr="00176379" w:rsidRDefault="00176379" w:rsidP="00A75867">
            <w:r>
              <w:t>6.4300</w:t>
            </w:r>
          </w:p>
        </w:tc>
        <w:tc>
          <w:tcPr>
            <w:tcW w:w="4367" w:type="dxa"/>
          </w:tcPr>
          <w:p w:rsidR="00176379" w:rsidRPr="00176379" w:rsidRDefault="00176379" w:rsidP="00A75867">
            <w:pPr>
              <w:rPr>
                <w:color w:val="auto"/>
              </w:rPr>
            </w:pPr>
            <w:r w:rsidRPr="00176379">
              <w:rPr>
                <w:color w:val="auto"/>
              </w:rPr>
              <w:t>6.4200</w:t>
            </w:r>
          </w:p>
        </w:tc>
        <w:tc>
          <w:tcPr>
            <w:tcW w:w="2925" w:type="dxa"/>
          </w:tcPr>
          <w:p w:rsidR="00176379" w:rsidRPr="009F03EA" w:rsidRDefault="00176379" w:rsidP="00A75867">
            <w:r>
              <w:t>Renumbered because 6.4200 deleted in 23</w:t>
            </w:r>
            <w:r w:rsidRPr="00176379">
              <w:rPr>
                <w:vertAlign w:val="superscript"/>
              </w:rPr>
              <w:t>rd</w:t>
            </w:r>
            <w:r>
              <w:t xml:space="preserve"> Edition</w:t>
            </w:r>
          </w:p>
        </w:tc>
      </w:tr>
      <w:tr w:rsidR="00E21C5C" w:rsidRPr="000F3A8D" w:rsidTr="00C54831">
        <w:trPr>
          <w:trHeight w:val="720"/>
        </w:trPr>
        <w:tc>
          <w:tcPr>
            <w:tcW w:w="1975" w:type="dxa"/>
          </w:tcPr>
          <w:p w:rsidR="00E21C5C" w:rsidRPr="009F03EA" w:rsidRDefault="00E21C5C" w:rsidP="00A75867">
            <w:r w:rsidRPr="009F03EA">
              <w:t>7.1400</w:t>
            </w:r>
          </w:p>
        </w:tc>
        <w:tc>
          <w:tcPr>
            <w:tcW w:w="4410" w:type="dxa"/>
          </w:tcPr>
          <w:p w:rsidR="00E21C5C" w:rsidRPr="009F03EA" w:rsidRDefault="00E21C5C" w:rsidP="00E21C5C">
            <w:r w:rsidRPr="009F03EA">
              <w:t xml:space="preserve">Center shall have a designated area for outpatient evaluation and treatment that reduces the risk of transmission of infectious agents and is available 24 hours per day, seven days per week. </w:t>
            </w:r>
          </w:p>
          <w:p w:rsidR="00E21C5C" w:rsidRPr="009F03EA" w:rsidRDefault="00E21C5C" w:rsidP="00A75867"/>
        </w:tc>
        <w:tc>
          <w:tcPr>
            <w:tcW w:w="4367" w:type="dxa"/>
          </w:tcPr>
          <w:p w:rsidR="00E21C5C" w:rsidRPr="009F03EA" w:rsidRDefault="00E21C5C" w:rsidP="009141B5">
            <w:pPr>
              <w:rPr>
                <w:strike/>
                <w:color w:val="auto"/>
              </w:rPr>
            </w:pPr>
            <w:r w:rsidRPr="009F03EA">
              <w:t xml:space="preserve">Center shall have a designated </w:t>
            </w:r>
            <w:r w:rsidRPr="009F03EA">
              <w:rPr>
                <w:color w:val="FF0000"/>
              </w:rPr>
              <w:t xml:space="preserve">process </w:t>
            </w:r>
            <w:r w:rsidRPr="009F03EA">
              <w:rPr>
                <w:strike/>
              </w:rPr>
              <w:t>area</w:t>
            </w:r>
            <w:r w:rsidRPr="009F03EA">
              <w:t xml:space="preserve"> for outpatient evaluation and treatment that reduces the risk of transmission of infectious agents and is available 24 hours per day, seven days per week. </w:t>
            </w:r>
          </w:p>
        </w:tc>
        <w:tc>
          <w:tcPr>
            <w:tcW w:w="2925" w:type="dxa"/>
          </w:tcPr>
          <w:p w:rsidR="00E21C5C" w:rsidRPr="009F03EA" w:rsidRDefault="00AD45A2" w:rsidP="00A75867">
            <w:r>
              <w:t xml:space="preserve">“Process” is more inclusive. </w:t>
            </w:r>
          </w:p>
        </w:tc>
      </w:tr>
      <w:tr w:rsidR="001215B8" w:rsidRPr="000F3A8D" w:rsidTr="00C54831">
        <w:trPr>
          <w:trHeight w:val="720"/>
        </w:trPr>
        <w:tc>
          <w:tcPr>
            <w:tcW w:w="1975" w:type="dxa"/>
          </w:tcPr>
          <w:p w:rsidR="001215B8" w:rsidRPr="009F03EA" w:rsidRDefault="001215B8" w:rsidP="00A75867">
            <w:r w:rsidRPr="009F03EA">
              <w:t>7.2400</w:t>
            </w:r>
          </w:p>
        </w:tc>
        <w:tc>
          <w:tcPr>
            <w:tcW w:w="4410" w:type="dxa"/>
          </w:tcPr>
          <w:p w:rsidR="001215B8" w:rsidRPr="009F03EA" w:rsidRDefault="001215B8" w:rsidP="001215B8">
            <w:pPr>
              <w:ind w:left="0"/>
            </w:pPr>
            <w:r w:rsidRPr="009F03EA">
              <w:t>Center shall have at least two attending physicians, one of whom may be the medical director, who are licensed and qualified by training and experience in allogeneic hematopoietic cell transplantation.</w:t>
            </w:r>
          </w:p>
          <w:p w:rsidR="001215B8" w:rsidRPr="009F03EA" w:rsidRDefault="001215B8" w:rsidP="00E21C5C"/>
        </w:tc>
        <w:tc>
          <w:tcPr>
            <w:tcW w:w="4367" w:type="dxa"/>
          </w:tcPr>
          <w:p w:rsidR="001215B8" w:rsidRPr="009F03EA" w:rsidRDefault="001215B8" w:rsidP="009141B5">
            <w:pPr>
              <w:ind w:left="0"/>
            </w:pPr>
            <w:r w:rsidRPr="009F03EA">
              <w:t xml:space="preserve">Center shall have at least two attending physicians, one of whom may be the medical director, </w:t>
            </w:r>
            <w:r w:rsidRPr="009F03EA">
              <w:rPr>
                <w:strike/>
              </w:rPr>
              <w:t>who are licensed and qualified by training and experience in allogeneic hematopoietic cell transplantation.</w:t>
            </w:r>
          </w:p>
        </w:tc>
        <w:tc>
          <w:tcPr>
            <w:tcW w:w="2925" w:type="dxa"/>
          </w:tcPr>
          <w:p w:rsidR="001215B8" w:rsidRPr="009F03EA" w:rsidRDefault="009141B5" w:rsidP="009141B5">
            <w:r>
              <w:t xml:space="preserve">Addressed in </w:t>
            </w:r>
            <w:r w:rsidR="001215B8" w:rsidRPr="009F03EA">
              <w:t>7.2420 and 7.2100</w:t>
            </w:r>
          </w:p>
        </w:tc>
      </w:tr>
      <w:tr w:rsidR="001C597E" w:rsidRPr="000F3A8D" w:rsidTr="00C54831">
        <w:trPr>
          <w:trHeight w:val="720"/>
        </w:trPr>
        <w:tc>
          <w:tcPr>
            <w:tcW w:w="1975" w:type="dxa"/>
          </w:tcPr>
          <w:p w:rsidR="001C597E" w:rsidRPr="009F03EA" w:rsidRDefault="001C597E" w:rsidP="001C597E">
            <w:r>
              <w:t>7.2420</w:t>
            </w:r>
          </w:p>
        </w:tc>
        <w:tc>
          <w:tcPr>
            <w:tcW w:w="4410" w:type="dxa"/>
          </w:tcPr>
          <w:p w:rsidR="001C597E" w:rsidRPr="001C597E" w:rsidRDefault="001C597E" w:rsidP="001C597E">
            <w:pPr>
              <w:ind w:left="0"/>
            </w:pPr>
            <w:r w:rsidRPr="001C597E">
              <w:t>Attending physicians</w:t>
            </w:r>
            <w:r w:rsidRPr="001C597E">
              <w:rPr>
                <w:strike/>
              </w:rPr>
              <w:t xml:space="preserve"> </w:t>
            </w:r>
            <w:r w:rsidRPr="001C597E">
              <w:t>should be board certified</w:t>
            </w:r>
            <w:r w:rsidRPr="001C597E">
              <w:rPr>
                <w:color w:val="FF0000"/>
              </w:rPr>
              <w:t xml:space="preserve"> </w:t>
            </w:r>
            <w:r w:rsidRPr="001C597E">
              <w:t>or eligible as specified in 7.21</w:t>
            </w:r>
            <w:r>
              <w:t>1</w:t>
            </w:r>
            <w:r w:rsidRPr="001C597E">
              <w:t>0.</w:t>
            </w:r>
          </w:p>
          <w:p w:rsidR="001C597E" w:rsidRPr="009F03EA" w:rsidRDefault="001C597E" w:rsidP="001C597E">
            <w:pPr>
              <w:ind w:left="0"/>
            </w:pPr>
          </w:p>
        </w:tc>
        <w:tc>
          <w:tcPr>
            <w:tcW w:w="4367" w:type="dxa"/>
          </w:tcPr>
          <w:p w:rsidR="001C597E" w:rsidRPr="001C597E" w:rsidRDefault="001C597E" w:rsidP="001C597E">
            <w:pPr>
              <w:ind w:left="0"/>
            </w:pPr>
            <w:r w:rsidRPr="001C597E">
              <w:t>Attending physicians</w:t>
            </w:r>
            <w:r w:rsidRPr="001C597E">
              <w:rPr>
                <w:strike/>
              </w:rPr>
              <w:t xml:space="preserve"> should </w:t>
            </w:r>
            <w:r w:rsidRPr="001C597E">
              <w:rPr>
                <w:color w:val="FF0000"/>
              </w:rPr>
              <w:t>shall</w:t>
            </w:r>
            <w:r w:rsidRPr="001C597E">
              <w:t xml:space="preserve"> be board certified </w:t>
            </w:r>
            <w:r w:rsidRPr="001C597E">
              <w:rPr>
                <w:color w:val="FF0000"/>
              </w:rPr>
              <w:t xml:space="preserve">(or non-U.S. equivalent) </w:t>
            </w:r>
            <w:r w:rsidRPr="001C597E">
              <w:t xml:space="preserve">or eligible as specified in </w:t>
            </w:r>
            <w:r w:rsidRPr="001C597E">
              <w:rPr>
                <w:strike/>
              </w:rPr>
              <w:t>7.2110</w:t>
            </w:r>
            <w:r>
              <w:t xml:space="preserve"> </w:t>
            </w:r>
            <w:r w:rsidRPr="001C597E">
              <w:rPr>
                <w:color w:val="FF0000"/>
              </w:rPr>
              <w:t>7.2100</w:t>
            </w:r>
            <w:r w:rsidRPr="001C597E">
              <w:t>.</w:t>
            </w:r>
          </w:p>
          <w:p w:rsidR="001C597E" w:rsidRPr="009F03EA" w:rsidRDefault="001C597E" w:rsidP="001C597E">
            <w:pPr>
              <w:ind w:left="0"/>
            </w:pPr>
          </w:p>
        </w:tc>
        <w:tc>
          <w:tcPr>
            <w:tcW w:w="2925" w:type="dxa"/>
          </w:tcPr>
          <w:p w:rsidR="001C597E" w:rsidRDefault="001C597E" w:rsidP="001C597E">
            <w:r>
              <w:t>“Shall”</w:t>
            </w:r>
            <w:r w:rsidR="0042792F">
              <w:t xml:space="preserve"> because it is required; non-US equivalent allows for internationally trained physicians.</w:t>
            </w:r>
          </w:p>
        </w:tc>
      </w:tr>
      <w:tr w:rsidR="001C597E" w:rsidRPr="000F3A8D" w:rsidTr="00C54831">
        <w:trPr>
          <w:trHeight w:val="720"/>
        </w:trPr>
        <w:tc>
          <w:tcPr>
            <w:tcW w:w="1975" w:type="dxa"/>
          </w:tcPr>
          <w:p w:rsidR="001C597E" w:rsidRPr="009F03EA" w:rsidRDefault="001C597E" w:rsidP="001C597E">
            <w:r w:rsidRPr="009F03EA">
              <w:t>7.5100</w:t>
            </w:r>
          </w:p>
        </w:tc>
        <w:tc>
          <w:tcPr>
            <w:tcW w:w="4410" w:type="dxa"/>
          </w:tcPr>
          <w:p w:rsidR="001C597E" w:rsidRPr="009F03EA" w:rsidRDefault="001C597E" w:rsidP="001C597E">
            <w:pPr>
              <w:tabs>
                <w:tab w:val="left" w:pos="2700"/>
                <w:tab w:val="left" w:pos="10224"/>
              </w:tabs>
              <w:ind w:left="0"/>
            </w:pPr>
            <w:r w:rsidRPr="009F03EA">
              <w:t xml:space="preserve">Center shall maintain written policies, procedures and clinical practice guidelines to address aspects of allogeneic transplantation. </w:t>
            </w:r>
          </w:p>
          <w:p w:rsidR="001C597E" w:rsidRPr="009F03EA" w:rsidRDefault="001C597E" w:rsidP="001C597E">
            <w:pPr>
              <w:tabs>
                <w:tab w:val="left" w:pos="2700"/>
                <w:tab w:val="left" w:pos="3456"/>
                <w:tab w:val="left" w:pos="4608"/>
                <w:tab w:val="left" w:pos="5760"/>
              </w:tabs>
              <w:ind w:left="2700" w:hanging="1260"/>
            </w:pPr>
            <w:r w:rsidRPr="009F03EA">
              <w:tab/>
            </w:r>
          </w:p>
        </w:tc>
        <w:tc>
          <w:tcPr>
            <w:tcW w:w="4367" w:type="dxa"/>
          </w:tcPr>
          <w:p w:rsidR="001C597E" w:rsidRPr="009F03EA" w:rsidRDefault="001C597E" w:rsidP="001C597E">
            <w:pPr>
              <w:tabs>
                <w:tab w:val="left" w:pos="2700"/>
                <w:tab w:val="left" w:pos="10224"/>
              </w:tabs>
              <w:ind w:left="0"/>
            </w:pPr>
            <w:r w:rsidRPr="009F03EA">
              <w:t xml:space="preserve">Center shall maintain written policies, procedures and clinical practice guidelines </w:t>
            </w:r>
            <w:r w:rsidRPr="009F03EA">
              <w:rPr>
                <w:color w:val="FF0000"/>
              </w:rPr>
              <w:t xml:space="preserve">for management of </w:t>
            </w:r>
            <w:r w:rsidRPr="009F03EA">
              <w:t>allogeneic transplantation.</w:t>
            </w:r>
          </w:p>
        </w:tc>
        <w:tc>
          <w:tcPr>
            <w:tcW w:w="2925" w:type="dxa"/>
          </w:tcPr>
          <w:p w:rsidR="001C597E" w:rsidRPr="009F03EA" w:rsidRDefault="001C597E" w:rsidP="001C597E">
            <w:r>
              <w:t xml:space="preserve">Better description of what is required. </w:t>
            </w:r>
          </w:p>
        </w:tc>
      </w:tr>
      <w:tr w:rsidR="001C597E" w:rsidRPr="000F3A8D" w:rsidTr="00C54831">
        <w:trPr>
          <w:trHeight w:val="720"/>
        </w:trPr>
        <w:tc>
          <w:tcPr>
            <w:tcW w:w="1975" w:type="dxa"/>
          </w:tcPr>
          <w:p w:rsidR="001C597E" w:rsidRPr="009F03EA" w:rsidRDefault="001C597E" w:rsidP="001C597E">
            <w:r w:rsidRPr="009F03EA">
              <w:t>7.5200</w:t>
            </w:r>
          </w:p>
        </w:tc>
        <w:tc>
          <w:tcPr>
            <w:tcW w:w="4410" w:type="dxa"/>
          </w:tcPr>
          <w:p w:rsidR="001C597E" w:rsidRPr="009F03EA" w:rsidRDefault="001C597E" w:rsidP="001C597E">
            <w:pPr>
              <w:tabs>
                <w:tab w:val="left" w:pos="2700"/>
                <w:tab w:val="left" w:pos="10224"/>
              </w:tabs>
              <w:ind w:left="0"/>
            </w:pPr>
            <w:r w:rsidRPr="009F03EA">
              <w:t>Each recipient of hematopoietic cells from an NMDP donor shall be enrolled in a clinical research protocol or treated according to a written clinical practice guideline.</w:t>
            </w:r>
          </w:p>
          <w:p w:rsidR="001C597E" w:rsidRPr="009F03EA" w:rsidRDefault="001C597E" w:rsidP="001C597E">
            <w:pPr>
              <w:tabs>
                <w:tab w:val="left" w:pos="2700"/>
                <w:tab w:val="left" w:pos="10224"/>
              </w:tabs>
              <w:ind w:left="0"/>
            </w:pPr>
          </w:p>
        </w:tc>
        <w:tc>
          <w:tcPr>
            <w:tcW w:w="4367" w:type="dxa"/>
          </w:tcPr>
          <w:p w:rsidR="001C597E" w:rsidRPr="009F03EA" w:rsidRDefault="001C597E" w:rsidP="001C597E">
            <w:pPr>
              <w:tabs>
                <w:tab w:val="left" w:pos="2700"/>
                <w:tab w:val="left" w:pos="10224"/>
              </w:tabs>
              <w:ind w:left="0"/>
            </w:pPr>
            <w:r w:rsidRPr="009F03EA">
              <w:t xml:space="preserve">Each recipient of hematopoietic cells from an NMDP donor shall be enrolled in a clinical research protocol or treated according to </w:t>
            </w:r>
            <w:r w:rsidRPr="00FE01FC">
              <w:rPr>
                <w:strike/>
              </w:rPr>
              <w:t xml:space="preserve">a </w:t>
            </w:r>
            <w:r w:rsidRPr="009F03EA">
              <w:t>written clinical practice guideline</w:t>
            </w:r>
            <w:r w:rsidRPr="009F03EA">
              <w:rPr>
                <w:color w:val="FF0000"/>
              </w:rPr>
              <w:t>s</w:t>
            </w:r>
            <w:r w:rsidRPr="009F03EA">
              <w:t>.</w:t>
            </w:r>
          </w:p>
          <w:p w:rsidR="001C597E" w:rsidRPr="009F03EA" w:rsidRDefault="001C597E" w:rsidP="001C597E">
            <w:pPr>
              <w:tabs>
                <w:tab w:val="left" w:pos="2700"/>
                <w:tab w:val="left" w:pos="10224"/>
              </w:tabs>
              <w:ind w:left="0"/>
            </w:pPr>
          </w:p>
        </w:tc>
        <w:tc>
          <w:tcPr>
            <w:tcW w:w="2925" w:type="dxa"/>
          </w:tcPr>
          <w:p w:rsidR="001C597E" w:rsidRPr="009F03EA" w:rsidRDefault="001C597E" w:rsidP="001C597E">
            <w:r w:rsidRPr="009F03EA">
              <w:t xml:space="preserve">There are guidelines for transplant processes but not necessarily in one document called a guideline. </w:t>
            </w:r>
          </w:p>
        </w:tc>
      </w:tr>
      <w:tr w:rsidR="009F4198" w:rsidRPr="000F3A8D" w:rsidTr="00C54831">
        <w:trPr>
          <w:trHeight w:val="720"/>
        </w:trPr>
        <w:tc>
          <w:tcPr>
            <w:tcW w:w="1975" w:type="dxa"/>
          </w:tcPr>
          <w:p w:rsidR="009F4198" w:rsidRPr="009F03EA" w:rsidRDefault="009F4198" w:rsidP="001C597E">
            <w:r>
              <w:t>8.000</w:t>
            </w:r>
          </w:p>
        </w:tc>
        <w:tc>
          <w:tcPr>
            <w:tcW w:w="4410" w:type="dxa"/>
          </w:tcPr>
          <w:p w:rsidR="009F4198" w:rsidRPr="00AA2B9C" w:rsidRDefault="009F4198" w:rsidP="00AA2B9C">
            <w:pPr>
              <w:tabs>
                <w:tab w:val="left" w:pos="2700"/>
                <w:tab w:val="left" w:pos="10224"/>
              </w:tabs>
              <w:ind w:left="0"/>
            </w:pPr>
            <w:bookmarkStart w:id="20" w:name="_Toc535916250"/>
            <w:bookmarkStart w:id="21" w:name="_Toc23737720"/>
            <w:bookmarkStart w:id="22" w:name="_Toc21847701"/>
            <w:bookmarkStart w:id="23" w:name="_Toc207004304"/>
            <w:bookmarkStart w:id="24" w:name="_Toc371584538"/>
            <w:r w:rsidRPr="00AA2B9C">
              <w:t>Recruitment of Marrow or Hematopoietic Cell Adult Donors</w:t>
            </w:r>
            <w:bookmarkEnd w:id="20"/>
            <w:bookmarkEnd w:id="21"/>
            <w:bookmarkEnd w:id="22"/>
            <w:bookmarkEnd w:id="23"/>
            <w:bookmarkEnd w:id="24"/>
            <w:r w:rsidR="00AA2B9C" w:rsidRPr="00AA2B9C">
              <w:t xml:space="preserve"> and Cord Blood Donors</w:t>
            </w:r>
          </w:p>
        </w:tc>
        <w:tc>
          <w:tcPr>
            <w:tcW w:w="4367" w:type="dxa"/>
          </w:tcPr>
          <w:p w:rsidR="00AA2B9C" w:rsidRPr="00AA2B9C" w:rsidRDefault="00AA2B9C" w:rsidP="00AA2B9C">
            <w:pPr>
              <w:tabs>
                <w:tab w:val="left" w:pos="2700"/>
                <w:tab w:val="left" w:pos="10224"/>
              </w:tabs>
              <w:ind w:left="0"/>
              <w:rPr>
                <w:strike/>
              </w:rPr>
            </w:pPr>
            <w:r w:rsidRPr="00AA2B9C">
              <w:t>Recruitment of Marrow or Hematopoietic Cell Adult Donors</w:t>
            </w:r>
            <w:r>
              <w:t>.</w:t>
            </w:r>
            <w:r w:rsidRPr="00AA2B9C">
              <w:t xml:space="preserve"> </w:t>
            </w:r>
            <w:r w:rsidRPr="00AA2B9C">
              <w:rPr>
                <w:strike/>
              </w:rPr>
              <w:t>and Cord Blood Donors</w:t>
            </w:r>
          </w:p>
          <w:p w:rsidR="009F4198" w:rsidRPr="00AA2B9C" w:rsidRDefault="009F4198" w:rsidP="00AA2B9C">
            <w:pPr>
              <w:tabs>
                <w:tab w:val="left" w:pos="2700"/>
                <w:tab w:val="left" w:pos="10224"/>
              </w:tabs>
              <w:ind w:left="0"/>
            </w:pPr>
          </w:p>
        </w:tc>
        <w:tc>
          <w:tcPr>
            <w:tcW w:w="2925" w:type="dxa"/>
          </w:tcPr>
          <w:p w:rsidR="009F4198" w:rsidRPr="009F03EA" w:rsidRDefault="00AA2B9C" w:rsidP="00AA2B9C">
            <w:r>
              <w:t>Deleted reference to Cord Blood.</w:t>
            </w:r>
          </w:p>
        </w:tc>
      </w:tr>
      <w:tr w:rsidR="00AA2B9C" w:rsidRPr="000F3A8D" w:rsidTr="00AA2B9C">
        <w:trPr>
          <w:trHeight w:val="530"/>
        </w:trPr>
        <w:tc>
          <w:tcPr>
            <w:tcW w:w="1975" w:type="dxa"/>
          </w:tcPr>
          <w:p w:rsidR="00AA2B9C" w:rsidRDefault="00AA2B9C" w:rsidP="001C597E">
            <w:r>
              <w:t>8.1000</w:t>
            </w:r>
          </w:p>
        </w:tc>
        <w:tc>
          <w:tcPr>
            <w:tcW w:w="4410" w:type="dxa"/>
          </w:tcPr>
          <w:p w:rsidR="00AA2B9C" w:rsidRDefault="00AA2B9C" w:rsidP="00AA2B9C">
            <w:pPr>
              <w:pStyle w:val="StyleHeading2TimesNewRoman"/>
              <w:ind w:hanging="1440"/>
              <w:rPr>
                <w:rFonts w:ascii="Calibri" w:hAnsi="Calibri"/>
                <w:b w:val="0"/>
                <w:i w:val="0"/>
                <w:sz w:val="22"/>
                <w:szCs w:val="22"/>
              </w:rPr>
            </w:pPr>
            <w:r w:rsidRPr="00AA2B9C">
              <w:rPr>
                <w:rFonts w:ascii="Calibri" w:hAnsi="Calibri"/>
                <w:b w:val="0"/>
                <w:i w:val="0"/>
                <w:sz w:val="22"/>
                <w:szCs w:val="22"/>
              </w:rPr>
              <w:t>Marrow or Apheresis Donor</w:t>
            </w:r>
          </w:p>
          <w:p w:rsidR="00AA2B9C" w:rsidRDefault="00AA2B9C" w:rsidP="00AA2B9C">
            <w:pPr>
              <w:pStyle w:val="StyleHeading2TimesNewRoman"/>
              <w:ind w:hanging="1440"/>
              <w:rPr>
                <w:rFonts w:ascii="Calibri" w:hAnsi="Calibri"/>
                <w:b w:val="0"/>
                <w:i w:val="0"/>
                <w:sz w:val="22"/>
                <w:szCs w:val="22"/>
              </w:rPr>
            </w:pPr>
            <w:r>
              <w:rPr>
                <w:rFonts w:ascii="Calibri" w:hAnsi="Calibri"/>
                <w:b w:val="0"/>
                <w:i w:val="0"/>
                <w:sz w:val="22"/>
                <w:szCs w:val="22"/>
              </w:rPr>
              <w:t>8.1100</w:t>
            </w:r>
          </w:p>
          <w:p w:rsidR="00AA2B9C" w:rsidRDefault="00AA2B9C" w:rsidP="00AA2B9C">
            <w:pPr>
              <w:pStyle w:val="StyleHeading2TimesNewRoman"/>
              <w:ind w:hanging="1440"/>
              <w:rPr>
                <w:rFonts w:ascii="Calibri" w:hAnsi="Calibri"/>
                <w:b w:val="0"/>
                <w:i w:val="0"/>
                <w:sz w:val="22"/>
                <w:szCs w:val="22"/>
              </w:rPr>
            </w:pPr>
            <w:r>
              <w:rPr>
                <w:rFonts w:ascii="Calibri" w:hAnsi="Calibri"/>
                <w:b w:val="0"/>
                <w:i w:val="0"/>
                <w:sz w:val="22"/>
                <w:szCs w:val="22"/>
              </w:rPr>
              <w:t>8.1200</w:t>
            </w:r>
          </w:p>
          <w:p w:rsidR="00AA2B9C" w:rsidRDefault="00AA2B9C" w:rsidP="00AA2B9C">
            <w:pPr>
              <w:pStyle w:val="StyleHeading2TimesNewRoman"/>
              <w:ind w:hanging="1440"/>
              <w:rPr>
                <w:rFonts w:ascii="Calibri" w:hAnsi="Calibri"/>
                <w:b w:val="0"/>
                <w:i w:val="0"/>
                <w:sz w:val="22"/>
                <w:szCs w:val="22"/>
              </w:rPr>
            </w:pPr>
            <w:r>
              <w:rPr>
                <w:rFonts w:ascii="Calibri" w:hAnsi="Calibri"/>
                <w:b w:val="0"/>
                <w:i w:val="0"/>
                <w:sz w:val="22"/>
                <w:szCs w:val="22"/>
              </w:rPr>
              <w:t>8.1300</w:t>
            </w:r>
          </w:p>
          <w:p w:rsidR="00AA2B9C" w:rsidRDefault="00AA2B9C" w:rsidP="00AA2B9C">
            <w:pPr>
              <w:pStyle w:val="StyleHeading2TimesNewRoman"/>
              <w:ind w:hanging="1440"/>
              <w:rPr>
                <w:rFonts w:ascii="Calibri" w:hAnsi="Calibri"/>
                <w:b w:val="0"/>
                <w:i w:val="0"/>
                <w:sz w:val="22"/>
                <w:szCs w:val="22"/>
              </w:rPr>
            </w:pPr>
            <w:r>
              <w:rPr>
                <w:rFonts w:ascii="Calibri" w:hAnsi="Calibri"/>
                <w:b w:val="0"/>
                <w:i w:val="0"/>
                <w:sz w:val="22"/>
                <w:szCs w:val="22"/>
              </w:rPr>
              <w:t>8.1400</w:t>
            </w:r>
          </w:p>
          <w:p w:rsidR="00AA2B9C" w:rsidRDefault="00AA2B9C" w:rsidP="00AA2B9C">
            <w:pPr>
              <w:pStyle w:val="StyleHeading2TimesNewRoman"/>
              <w:ind w:hanging="1440"/>
              <w:rPr>
                <w:rFonts w:ascii="Calibri" w:hAnsi="Calibri"/>
                <w:b w:val="0"/>
                <w:i w:val="0"/>
                <w:sz w:val="22"/>
                <w:szCs w:val="22"/>
              </w:rPr>
            </w:pPr>
            <w:r>
              <w:rPr>
                <w:rFonts w:ascii="Calibri" w:hAnsi="Calibri"/>
                <w:b w:val="0"/>
                <w:i w:val="0"/>
                <w:sz w:val="22"/>
                <w:szCs w:val="22"/>
              </w:rPr>
              <w:t>8.1500</w:t>
            </w:r>
          </w:p>
          <w:p w:rsidR="00AA2B9C" w:rsidRDefault="00AA2B9C" w:rsidP="00AA2B9C">
            <w:pPr>
              <w:pStyle w:val="StyleHeading2TimesNewRoman"/>
              <w:ind w:hanging="1440"/>
              <w:rPr>
                <w:rFonts w:ascii="Calibri" w:hAnsi="Calibri"/>
                <w:b w:val="0"/>
                <w:i w:val="0"/>
                <w:sz w:val="22"/>
                <w:szCs w:val="22"/>
              </w:rPr>
            </w:pPr>
            <w:r>
              <w:rPr>
                <w:rFonts w:ascii="Calibri" w:hAnsi="Calibri"/>
                <w:b w:val="0"/>
                <w:i w:val="0"/>
                <w:sz w:val="22"/>
                <w:szCs w:val="22"/>
              </w:rPr>
              <w:t>8.1600</w:t>
            </w:r>
          </w:p>
          <w:p w:rsidR="00BF15F3"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8.1610</w:t>
            </w:r>
          </w:p>
          <w:p w:rsidR="00BF15F3"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8.1620</w:t>
            </w:r>
          </w:p>
          <w:p w:rsidR="00BF15F3"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8.1630</w:t>
            </w:r>
          </w:p>
          <w:p w:rsidR="00BF15F3"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8.1640</w:t>
            </w:r>
          </w:p>
          <w:p w:rsidR="00BF15F3"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8.1650</w:t>
            </w:r>
          </w:p>
          <w:p w:rsidR="00BF15F3"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8.1700</w:t>
            </w:r>
          </w:p>
          <w:p w:rsidR="00AA2B9C" w:rsidRPr="00AA2B9C" w:rsidRDefault="00BF15F3" w:rsidP="00BF15F3">
            <w:pPr>
              <w:pStyle w:val="StyleHeading2TimesNewRoman"/>
              <w:ind w:hanging="1440"/>
              <w:rPr>
                <w:rFonts w:ascii="Calibri" w:hAnsi="Calibri"/>
                <w:b w:val="0"/>
                <w:i w:val="0"/>
                <w:sz w:val="22"/>
                <w:szCs w:val="22"/>
              </w:rPr>
            </w:pPr>
            <w:r>
              <w:rPr>
                <w:rFonts w:ascii="Calibri" w:hAnsi="Calibri"/>
                <w:b w:val="0"/>
                <w:i w:val="0"/>
                <w:sz w:val="22"/>
                <w:szCs w:val="22"/>
              </w:rPr>
              <w:t>8.1800</w:t>
            </w:r>
          </w:p>
        </w:tc>
        <w:tc>
          <w:tcPr>
            <w:tcW w:w="4367" w:type="dxa"/>
          </w:tcPr>
          <w:p w:rsidR="00AA2B9C" w:rsidRDefault="00AA2B9C" w:rsidP="00AA2B9C">
            <w:pPr>
              <w:pStyle w:val="StyleHeading2TimesNewRoman"/>
              <w:ind w:hanging="1440"/>
              <w:rPr>
                <w:rFonts w:ascii="Calibri" w:hAnsi="Calibri"/>
                <w:b w:val="0"/>
                <w:i w:val="0"/>
                <w:strike/>
                <w:sz w:val="22"/>
                <w:szCs w:val="22"/>
              </w:rPr>
            </w:pPr>
            <w:r w:rsidRPr="00AA2B9C">
              <w:rPr>
                <w:rFonts w:ascii="Calibri" w:hAnsi="Calibri"/>
                <w:b w:val="0"/>
                <w:i w:val="0"/>
                <w:strike/>
                <w:sz w:val="22"/>
                <w:szCs w:val="22"/>
              </w:rPr>
              <w:t>Marrow or Apheresis Donor</w:t>
            </w:r>
          </w:p>
          <w:p w:rsidR="00AA2B9C" w:rsidRDefault="00AA2B9C" w:rsidP="00AA2B9C">
            <w:pPr>
              <w:pStyle w:val="StyleHeading2TimesNewRoman"/>
              <w:ind w:hanging="1440"/>
              <w:rPr>
                <w:rFonts w:ascii="Calibri" w:hAnsi="Calibri"/>
                <w:b w:val="0"/>
                <w:i w:val="0"/>
                <w:sz w:val="22"/>
                <w:szCs w:val="22"/>
              </w:rPr>
            </w:pPr>
            <w:r w:rsidRPr="00AA2B9C">
              <w:rPr>
                <w:rFonts w:ascii="Calibri" w:hAnsi="Calibri"/>
                <w:b w:val="0"/>
                <w:i w:val="0"/>
                <w:sz w:val="22"/>
                <w:szCs w:val="22"/>
              </w:rPr>
              <w:t>8.1000</w:t>
            </w:r>
          </w:p>
          <w:p w:rsidR="00AA2B9C" w:rsidRDefault="00AA2B9C" w:rsidP="00AA2B9C">
            <w:pPr>
              <w:pStyle w:val="StyleHeading2TimesNewRoman"/>
              <w:ind w:hanging="1440"/>
              <w:rPr>
                <w:rFonts w:ascii="Calibri" w:hAnsi="Calibri"/>
                <w:b w:val="0"/>
                <w:i w:val="0"/>
                <w:sz w:val="22"/>
                <w:szCs w:val="22"/>
              </w:rPr>
            </w:pPr>
            <w:r>
              <w:rPr>
                <w:rFonts w:ascii="Calibri" w:hAnsi="Calibri"/>
                <w:b w:val="0"/>
                <w:i w:val="0"/>
                <w:sz w:val="22"/>
                <w:szCs w:val="22"/>
              </w:rPr>
              <w:t>8.2000</w:t>
            </w:r>
          </w:p>
          <w:p w:rsidR="00AA2B9C" w:rsidRDefault="00AA2B9C" w:rsidP="00AA2B9C">
            <w:pPr>
              <w:pStyle w:val="StyleHeading2TimesNewRoman"/>
              <w:ind w:hanging="1440"/>
              <w:rPr>
                <w:rFonts w:ascii="Calibri" w:hAnsi="Calibri"/>
                <w:b w:val="0"/>
                <w:i w:val="0"/>
                <w:sz w:val="22"/>
                <w:szCs w:val="22"/>
              </w:rPr>
            </w:pPr>
            <w:r>
              <w:rPr>
                <w:rFonts w:ascii="Calibri" w:hAnsi="Calibri"/>
                <w:b w:val="0"/>
                <w:i w:val="0"/>
                <w:sz w:val="22"/>
                <w:szCs w:val="22"/>
              </w:rPr>
              <w:t>8.3000</w:t>
            </w:r>
          </w:p>
          <w:p w:rsidR="00AA2B9C" w:rsidRDefault="00AA2B9C" w:rsidP="00AA2B9C">
            <w:pPr>
              <w:pStyle w:val="StyleHeading2TimesNewRoman"/>
              <w:ind w:hanging="1440"/>
              <w:rPr>
                <w:rFonts w:ascii="Calibri" w:hAnsi="Calibri"/>
                <w:b w:val="0"/>
                <w:i w:val="0"/>
                <w:sz w:val="22"/>
                <w:szCs w:val="22"/>
              </w:rPr>
            </w:pPr>
            <w:r>
              <w:rPr>
                <w:rFonts w:ascii="Calibri" w:hAnsi="Calibri"/>
                <w:b w:val="0"/>
                <w:i w:val="0"/>
                <w:sz w:val="22"/>
                <w:szCs w:val="22"/>
              </w:rPr>
              <w:t>8.4000</w:t>
            </w:r>
          </w:p>
          <w:p w:rsidR="00AA2B9C" w:rsidRDefault="00AA2B9C" w:rsidP="00AA2B9C">
            <w:pPr>
              <w:pStyle w:val="StyleHeading2TimesNewRoman"/>
              <w:ind w:hanging="1440"/>
              <w:rPr>
                <w:rFonts w:ascii="Calibri" w:hAnsi="Calibri"/>
                <w:b w:val="0"/>
                <w:i w:val="0"/>
                <w:sz w:val="22"/>
                <w:szCs w:val="22"/>
              </w:rPr>
            </w:pPr>
            <w:r>
              <w:rPr>
                <w:rFonts w:ascii="Calibri" w:hAnsi="Calibri"/>
                <w:b w:val="0"/>
                <w:i w:val="0"/>
                <w:sz w:val="22"/>
                <w:szCs w:val="22"/>
              </w:rPr>
              <w:t>8.5000</w:t>
            </w:r>
          </w:p>
          <w:p w:rsidR="00AA2B9C" w:rsidRDefault="00AA2B9C" w:rsidP="00AA2B9C">
            <w:pPr>
              <w:pStyle w:val="StyleHeading2TimesNewRoman"/>
              <w:ind w:hanging="1440"/>
              <w:rPr>
                <w:rFonts w:ascii="Calibri" w:hAnsi="Calibri"/>
                <w:b w:val="0"/>
                <w:i w:val="0"/>
                <w:sz w:val="22"/>
                <w:szCs w:val="22"/>
              </w:rPr>
            </w:pPr>
            <w:r>
              <w:rPr>
                <w:rFonts w:ascii="Calibri" w:hAnsi="Calibri"/>
                <w:b w:val="0"/>
                <w:i w:val="0"/>
                <w:sz w:val="22"/>
                <w:szCs w:val="22"/>
              </w:rPr>
              <w:t>8.6000</w:t>
            </w:r>
          </w:p>
          <w:p w:rsidR="00BF15F3"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8.6100</w:t>
            </w:r>
          </w:p>
          <w:p w:rsidR="00BF15F3"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8.6200</w:t>
            </w:r>
          </w:p>
          <w:p w:rsidR="00BF15F3"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8.6300</w:t>
            </w:r>
          </w:p>
          <w:p w:rsidR="00BF15F3"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8.6400</w:t>
            </w:r>
          </w:p>
          <w:p w:rsidR="00BF15F3"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8.6500</w:t>
            </w:r>
          </w:p>
          <w:p w:rsidR="00BF15F3"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8.7000</w:t>
            </w:r>
          </w:p>
          <w:p w:rsidR="00BF15F3" w:rsidRPr="00AA2B9C" w:rsidRDefault="00BF15F3" w:rsidP="00AA2B9C">
            <w:pPr>
              <w:pStyle w:val="StyleHeading2TimesNewRoman"/>
              <w:ind w:hanging="1440"/>
              <w:rPr>
                <w:rFonts w:ascii="Calibri" w:hAnsi="Calibri"/>
                <w:b w:val="0"/>
                <w:i w:val="0"/>
                <w:sz w:val="22"/>
                <w:szCs w:val="22"/>
              </w:rPr>
            </w:pPr>
            <w:r>
              <w:rPr>
                <w:rFonts w:ascii="Calibri" w:hAnsi="Calibri"/>
                <w:b w:val="0"/>
                <w:i w:val="0"/>
                <w:sz w:val="22"/>
                <w:szCs w:val="22"/>
              </w:rPr>
              <w:t>8.8000</w:t>
            </w:r>
          </w:p>
        </w:tc>
        <w:tc>
          <w:tcPr>
            <w:tcW w:w="2925" w:type="dxa"/>
          </w:tcPr>
          <w:p w:rsidR="00AA2B9C" w:rsidRDefault="00AA2B9C" w:rsidP="00AA2B9C">
            <w:r>
              <w:t>Deleted; see 8.0000;</w:t>
            </w:r>
          </w:p>
          <w:p w:rsidR="00AA2B9C" w:rsidRDefault="00AA2B9C" w:rsidP="00AA2B9C">
            <w:r>
              <w:t>Subsequent standards renumbered accordingly.</w:t>
            </w:r>
          </w:p>
        </w:tc>
      </w:tr>
      <w:tr w:rsidR="001C597E" w:rsidRPr="000F3A8D" w:rsidTr="00C54831">
        <w:trPr>
          <w:trHeight w:val="720"/>
        </w:trPr>
        <w:tc>
          <w:tcPr>
            <w:tcW w:w="1975" w:type="dxa"/>
          </w:tcPr>
          <w:p w:rsidR="001C597E" w:rsidRPr="009F03EA" w:rsidRDefault="001C597E" w:rsidP="001C597E">
            <w:r w:rsidRPr="009F03EA">
              <w:t>8.1630</w:t>
            </w:r>
          </w:p>
        </w:tc>
        <w:tc>
          <w:tcPr>
            <w:tcW w:w="4410" w:type="dxa"/>
          </w:tcPr>
          <w:p w:rsidR="001C597E" w:rsidRPr="009F03EA" w:rsidRDefault="001C597E" w:rsidP="001C597E">
            <w:pPr>
              <w:tabs>
                <w:tab w:val="left" w:pos="2700"/>
                <w:tab w:val="left" w:pos="10224"/>
              </w:tabs>
              <w:ind w:left="0"/>
            </w:pPr>
            <w:r w:rsidRPr="009F03EA">
              <w:t>Donor shall be informed that additional HLA testing may be performed on stored samples.</w:t>
            </w:r>
          </w:p>
          <w:p w:rsidR="001C597E" w:rsidRPr="009F03EA" w:rsidRDefault="001C597E" w:rsidP="001C597E">
            <w:pPr>
              <w:tabs>
                <w:tab w:val="left" w:pos="2700"/>
                <w:tab w:val="left" w:pos="10224"/>
              </w:tabs>
              <w:ind w:left="0"/>
            </w:pPr>
          </w:p>
        </w:tc>
        <w:tc>
          <w:tcPr>
            <w:tcW w:w="4367" w:type="dxa"/>
          </w:tcPr>
          <w:p w:rsidR="001C597E" w:rsidRPr="009F03EA" w:rsidRDefault="001C597E" w:rsidP="00A166C8">
            <w:pPr>
              <w:tabs>
                <w:tab w:val="left" w:pos="2700"/>
                <w:tab w:val="left" w:pos="10224"/>
              </w:tabs>
              <w:ind w:left="0"/>
            </w:pPr>
            <w:r w:rsidRPr="009F03EA">
              <w:t xml:space="preserve">Donor shall be informed that additional </w:t>
            </w:r>
            <w:r w:rsidRPr="009F03EA">
              <w:rPr>
                <w:strike/>
                <w:color w:val="FF0000"/>
              </w:rPr>
              <w:t>HLA</w:t>
            </w:r>
            <w:r w:rsidRPr="009F03EA">
              <w:t xml:space="preserve"> testing </w:t>
            </w:r>
            <w:r w:rsidRPr="009F03EA">
              <w:rPr>
                <w:color w:val="FF0000"/>
              </w:rPr>
              <w:t>for donor selection</w:t>
            </w:r>
            <w:r w:rsidRPr="009F03EA">
              <w:t xml:space="preserve"> may be performed on stored samples.</w:t>
            </w:r>
          </w:p>
        </w:tc>
        <w:tc>
          <w:tcPr>
            <w:tcW w:w="2925" w:type="dxa"/>
          </w:tcPr>
          <w:p w:rsidR="001C597E" w:rsidRPr="009F03EA" w:rsidRDefault="001C597E" w:rsidP="001C597E">
            <w:r w:rsidRPr="009F03EA">
              <w:t xml:space="preserve">Allows for other testing for matching that is not HLA. </w:t>
            </w:r>
          </w:p>
        </w:tc>
      </w:tr>
      <w:tr w:rsidR="006C3317" w:rsidRPr="000F3A8D" w:rsidTr="00C54831">
        <w:trPr>
          <w:trHeight w:val="720"/>
        </w:trPr>
        <w:tc>
          <w:tcPr>
            <w:tcW w:w="1975" w:type="dxa"/>
          </w:tcPr>
          <w:p w:rsidR="006C3317" w:rsidRPr="009F03EA" w:rsidRDefault="006C3317" w:rsidP="00A166C8">
            <w:r>
              <w:t>8.2000</w:t>
            </w:r>
          </w:p>
        </w:tc>
        <w:tc>
          <w:tcPr>
            <w:tcW w:w="4410" w:type="dxa"/>
          </w:tcPr>
          <w:p w:rsidR="006C3317" w:rsidRPr="006C3317" w:rsidRDefault="006C3317" w:rsidP="006C3317">
            <w:pPr>
              <w:tabs>
                <w:tab w:val="left" w:pos="2700"/>
                <w:tab w:val="left" w:pos="10224"/>
              </w:tabs>
              <w:ind w:left="0"/>
            </w:pPr>
            <w:bookmarkStart w:id="25" w:name="_Toc535916252"/>
            <w:bookmarkStart w:id="26" w:name="_Toc23737722"/>
            <w:bookmarkStart w:id="27" w:name="_Toc21847703"/>
            <w:bookmarkStart w:id="28" w:name="_Toc207004306"/>
            <w:bookmarkStart w:id="29" w:name="_Toc371584540"/>
            <w:r w:rsidRPr="006C3317">
              <w:t>Cord Blood Donor</w:t>
            </w:r>
            <w:bookmarkEnd w:id="25"/>
            <w:bookmarkEnd w:id="26"/>
            <w:bookmarkEnd w:id="27"/>
            <w:bookmarkEnd w:id="28"/>
            <w:bookmarkEnd w:id="29"/>
          </w:p>
          <w:p w:rsidR="006C3317" w:rsidRPr="006C3317" w:rsidRDefault="006C3317" w:rsidP="006C3317">
            <w:pPr>
              <w:tabs>
                <w:tab w:val="left" w:pos="2700"/>
                <w:tab w:val="left" w:pos="10224"/>
              </w:tabs>
              <w:ind w:left="0"/>
            </w:pPr>
            <w:r w:rsidRPr="006C3317">
              <w:t>8.2000 Cord Blood Donor</w:t>
            </w:r>
          </w:p>
          <w:p w:rsidR="006C3317" w:rsidRPr="006C3317" w:rsidRDefault="006C3317" w:rsidP="006C3317">
            <w:pPr>
              <w:tabs>
                <w:tab w:val="left" w:pos="2700"/>
                <w:tab w:val="left" w:pos="10224"/>
              </w:tabs>
              <w:ind w:left="0"/>
            </w:pPr>
            <w:r w:rsidRPr="006C3317">
              <w:t xml:space="preserve">8.2100 Consent shall be obtained from the biologic mother for collection and voluntary donation of the </w:t>
            </w:r>
            <w:proofErr w:type="gramStart"/>
            <w:r w:rsidRPr="006C3317">
              <w:t>HPC(</w:t>
            </w:r>
            <w:proofErr w:type="gramEnd"/>
            <w:r w:rsidRPr="006C3317">
              <w:t xml:space="preserve">CB) to a cord blood bank for use in unrelated cellular therapies per cord blood bank specific policies.  </w:t>
            </w:r>
          </w:p>
          <w:p w:rsidR="006C3317" w:rsidRPr="006C3317" w:rsidRDefault="006C3317" w:rsidP="006C3317">
            <w:pPr>
              <w:tabs>
                <w:tab w:val="left" w:pos="2700"/>
                <w:tab w:val="left" w:pos="10224"/>
              </w:tabs>
              <w:ind w:left="0"/>
            </w:pPr>
            <w:r w:rsidRPr="006C3317">
              <w:t>8.2110 Consent for collection shall be obtained before delivery.</w:t>
            </w:r>
          </w:p>
          <w:p w:rsidR="006C3317" w:rsidRPr="006C3317" w:rsidRDefault="006C3317" w:rsidP="006C3317">
            <w:pPr>
              <w:tabs>
                <w:tab w:val="left" w:pos="2700"/>
                <w:tab w:val="left" w:pos="10224"/>
              </w:tabs>
              <w:ind w:left="0"/>
            </w:pPr>
            <w:r w:rsidRPr="006C3317">
              <w:t>8.2120 Biologic mother shall be given a general explanation of the indications for and results of cellular therapies and reasons for using unrelated donors.</w:t>
            </w:r>
          </w:p>
          <w:p w:rsidR="006C3317" w:rsidRPr="006C3317" w:rsidRDefault="006C3317" w:rsidP="006C3317">
            <w:pPr>
              <w:tabs>
                <w:tab w:val="left" w:pos="2700"/>
                <w:tab w:val="left" w:pos="10224"/>
              </w:tabs>
              <w:ind w:left="0"/>
            </w:pPr>
            <w:r w:rsidRPr="006C3317">
              <w:t>8.2130 Biologic mother shall be given a general description of the donation process and the risks of cord blood donation.</w:t>
            </w:r>
          </w:p>
          <w:p w:rsidR="006C3317" w:rsidRPr="006C3317" w:rsidRDefault="006C3317" w:rsidP="006C3317">
            <w:pPr>
              <w:tabs>
                <w:tab w:val="left" w:pos="2700"/>
                <w:tab w:val="left" w:pos="10224"/>
              </w:tabs>
              <w:ind w:left="0"/>
            </w:pPr>
            <w:r w:rsidRPr="006C3317">
              <w:t>8.2140 Biologic mother shall acknowledge and document that she has read and understood the elements of participation, has been given ample opportunity to ask questions, and has had those questions answered satisfactorily.</w:t>
            </w:r>
          </w:p>
          <w:p w:rsidR="006C3317" w:rsidRPr="006C3317" w:rsidRDefault="006C3317" w:rsidP="00A166C8">
            <w:pPr>
              <w:tabs>
                <w:tab w:val="left" w:pos="2700"/>
                <w:tab w:val="left" w:pos="10224"/>
              </w:tabs>
              <w:ind w:left="0"/>
            </w:pPr>
            <w:r w:rsidRPr="006C3317">
              <w:t>8.2200 Biologic mother shall not be coerced to donate cord blood.</w:t>
            </w:r>
          </w:p>
        </w:tc>
        <w:tc>
          <w:tcPr>
            <w:tcW w:w="4367" w:type="dxa"/>
          </w:tcPr>
          <w:p w:rsidR="006C3317" w:rsidRPr="006C3317" w:rsidRDefault="006C3317" w:rsidP="006C3317">
            <w:pPr>
              <w:tabs>
                <w:tab w:val="left" w:pos="2700"/>
                <w:tab w:val="left" w:pos="10224"/>
              </w:tabs>
              <w:ind w:left="0"/>
              <w:rPr>
                <w:strike/>
              </w:rPr>
            </w:pPr>
            <w:r w:rsidRPr="006C3317">
              <w:rPr>
                <w:strike/>
              </w:rPr>
              <w:t>Cord Blood Donor</w:t>
            </w:r>
          </w:p>
          <w:p w:rsidR="006C3317" w:rsidRPr="006C3317" w:rsidRDefault="006C3317" w:rsidP="006C3317">
            <w:pPr>
              <w:tabs>
                <w:tab w:val="left" w:pos="2700"/>
                <w:tab w:val="left" w:pos="10224"/>
              </w:tabs>
              <w:ind w:left="0"/>
              <w:rPr>
                <w:strike/>
              </w:rPr>
            </w:pPr>
            <w:r w:rsidRPr="006C3317">
              <w:rPr>
                <w:strike/>
              </w:rPr>
              <w:t>8.2000 Cord Blood Donor</w:t>
            </w:r>
          </w:p>
          <w:p w:rsidR="006C3317" w:rsidRPr="006C3317" w:rsidRDefault="006C3317" w:rsidP="006C3317">
            <w:pPr>
              <w:tabs>
                <w:tab w:val="left" w:pos="2700"/>
                <w:tab w:val="left" w:pos="10224"/>
              </w:tabs>
              <w:ind w:left="0"/>
              <w:rPr>
                <w:strike/>
              </w:rPr>
            </w:pPr>
            <w:r w:rsidRPr="006C3317">
              <w:rPr>
                <w:strike/>
              </w:rPr>
              <w:t xml:space="preserve">8.2100 Consent shall be obtained from the biologic mother for collection and voluntary donation of the </w:t>
            </w:r>
            <w:proofErr w:type="gramStart"/>
            <w:r w:rsidRPr="006C3317">
              <w:rPr>
                <w:strike/>
              </w:rPr>
              <w:t>HPC(</w:t>
            </w:r>
            <w:proofErr w:type="gramEnd"/>
            <w:r w:rsidRPr="006C3317">
              <w:rPr>
                <w:strike/>
              </w:rPr>
              <w:t xml:space="preserve">CB) to a cord blood bank for use in unrelated cellular therapies per cord blood bank specific policies.  </w:t>
            </w:r>
          </w:p>
          <w:p w:rsidR="006C3317" w:rsidRPr="006C3317" w:rsidRDefault="006C3317" w:rsidP="006C3317">
            <w:pPr>
              <w:tabs>
                <w:tab w:val="left" w:pos="2700"/>
                <w:tab w:val="left" w:pos="10224"/>
              </w:tabs>
              <w:ind w:left="0"/>
              <w:rPr>
                <w:strike/>
              </w:rPr>
            </w:pPr>
            <w:r w:rsidRPr="006C3317">
              <w:rPr>
                <w:strike/>
              </w:rPr>
              <w:t>8.2110 Consent for collection shall be obtained before delivery.</w:t>
            </w:r>
          </w:p>
          <w:p w:rsidR="006C3317" w:rsidRPr="006C3317" w:rsidRDefault="006C3317" w:rsidP="006C3317">
            <w:pPr>
              <w:tabs>
                <w:tab w:val="left" w:pos="2700"/>
                <w:tab w:val="left" w:pos="10224"/>
              </w:tabs>
              <w:ind w:left="0"/>
              <w:rPr>
                <w:strike/>
              </w:rPr>
            </w:pPr>
            <w:r w:rsidRPr="006C3317">
              <w:rPr>
                <w:strike/>
              </w:rPr>
              <w:t>8.2120 Biologic mother shall be given a general explanation of the indications for and results of cellular therapies and reasons for using unrelated donors.</w:t>
            </w:r>
          </w:p>
          <w:p w:rsidR="006C3317" w:rsidRPr="006C3317" w:rsidRDefault="006C3317" w:rsidP="006C3317">
            <w:pPr>
              <w:tabs>
                <w:tab w:val="left" w:pos="2700"/>
                <w:tab w:val="left" w:pos="10224"/>
              </w:tabs>
              <w:ind w:left="0"/>
            </w:pPr>
            <w:r w:rsidRPr="006C3317">
              <w:rPr>
                <w:strike/>
              </w:rPr>
              <w:t>8.2130 Biologic mother shall be given a general description of the donation process and the risks of cord blood donation</w:t>
            </w:r>
            <w:r w:rsidRPr="006C3317">
              <w:t>.</w:t>
            </w:r>
          </w:p>
          <w:p w:rsidR="006C3317" w:rsidRPr="006C3317" w:rsidRDefault="006C3317" w:rsidP="006C3317">
            <w:pPr>
              <w:tabs>
                <w:tab w:val="left" w:pos="2700"/>
                <w:tab w:val="left" w:pos="10224"/>
              </w:tabs>
              <w:ind w:left="0"/>
              <w:rPr>
                <w:strike/>
              </w:rPr>
            </w:pPr>
            <w:r w:rsidRPr="006C3317">
              <w:rPr>
                <w:strike/>
              </w:rPr>
              <w:t>8.2140 Biologic mother shall acknowledge and document that she has read and understood the elements of participation, has been given ample opportunity to ask questions, and has had those questions answered satisfactorily.</w:t>
            </w:r>
          </w:p>
          <w:p w:rsidR="006C3317" w:rsidRPr="006C3317" w:rsidRDefault="006C3317" w:rsidP="00A166C8">
            <w:pPr>
              <w:tabs>
                <w:tab w:val="left" w:pos="2700"/>
                <w:tab w:val="left" w:pos="10224"/>
              </w:tabs>
              <w:ind w:left="0"/>
            </w:pPr>
            <w:r w:rsidRPr="006C3317">
              <w:rPr>
                <w:strike/>
              </w:rPr>
              <w:t>8.2200 Biologic mother shall not be coerced to donate cord blood.</w:t>
            </w:r>
          </w:p>
        </w:tc>
        <w:tc>
          <w:tcPr>
            <w:tcW w:w="2925" w:type="dxa"/>
          </w:tcPr>
          <w:p w:rsidR="006C3317" w:rsidRPr="009F03EA" w:rsidRDefault="006C3317" w:rsidP="006C3317">
            <w:r>
              <w:t>AABB and NetCord-FACT requirements cover most all of what was required by NMDP standards. Anything else will be added to Participation Criteria.</w:t>
            </w:r>
          </w:p>
        </w:tc>
      </w:tr>
      <w:tr w:rsidR="006C3317" w:rsidRPr="000F3A8D" w:rsidTr="00C54831">
        <w:trPr>
          <w:trHeight w:val="720"/>
        </w:trPr>
        <w:tc>
          <w:tcPr>
            <w:tcW w:w="1975" w:type="dxa"/>
          </w:tcPr>
          <w:p w:rsidR="006C3317" w:rsidRPr="009F03EA" w:rsidRDefault="006C3317" w:rsidP="006C3317">
            <w:r w:rsidRPr="009F03EA">
              <w:t>9.1200</w:t>
            </w:r>
          </w:p>
          <w:p w:rsidR="006C3317" w:rsidRPr="009F03EA" w:rsidRDefault="006C3317" w:rsidP="006C3317"/>
        </w:tc>
        <w:tc>
          <w:tcPr>
            <w:tcW w:w="4410" w:type="dxa"/>
          </w:tcPr>
          <w:p w:rsidR="006C3317" w:rsidRPr="009F03EA" w:rsidRDefault="006C3317" w:rsidP="006C3317">
            <w:pPr>
              <w:tabs>
                <w:tab w:val="left" w:pos="2700"/>
                <w:tab w:val="left" w:pos="10224"/>
              </w:tabs>
              <w:ind w:left="0"/>
            </w:pPr>
            <w:r w:rsidRPr="009F03EA">
              <w:t>Customized HLA Typing</w:t>
            </w:r>
          </w:p>
          <w:p w:rsidR="006C3317" w:rsidRPr="009F03EA" w:rsidRDefault="006C3317" w:rsidP="006C3317">
            <w:pPr>
              <w:tabs>
                <w:tab w:val="left" w:pos="2700"/>
                <w:tab w:val="left" w:pos="10224"/>
              </w:tabs>
              <w:ind w:left="0"/>
            </w:pPr>
            <w:r w:rsidRPr="009F03EA">
              <w:t>9.1210 If a stored sample is used for customized HLA typing, the potential donor shall be informed that the typing is in progress and shall be given the opportunity to continue or withdraw.</w:t>
            </w:r>
          </w:p>
          <w:p w:rsidR="006C3317" w:rsidRPr="009F03EA" w:rsidRDefault="006C3317" w:rsidP="006C3317">
            <w:pPr>
              <w:tabs>
                <w:tab w:val="left" w:pos="2700"/>
                <w:tab w:val="left" w:pos="10224"/>
              </w:tabs>
              <w:ind w:left="0"/>
            </w:pPr>
            <w:r w:rsidRPr="009F03EA">
              <w:t>9.1220 Donor center shall obtain from the donor a medical history that meets NMDP requirements for a marrow or apheresis donor</w:t>
            </w:r>
          </w:p>
          <w:p w:rsidR="006C3317" w:rsidRPr="009F03EA" w:rsidRDefault="006C3317" w:rsidP="006C3317">
            <w:pPr>
              <w:tabs>
                <w:tab w:val="left" w:pos="2700"/>
                <w:tab w:val="left" w:pos="10224"/>
              </w:tabs>
              <w:ind w:left="0"/>
            </w:pPr>
            <w:r w:rsidRPr="009F03EA">
              <w:t>9.1221 Donor center shall keep a written record of the medical history.</w:t>
            </w:r>
          </w:p>
          <w:p w:rsidR="006C3317" w:rsidRPr="009F03EA" w:rsidRDefault="006C3317" w:rsidP="006C3317">
            <w:pPr>
              <w:tabs>
                <w:tab w:val="left" w:pos="2700"/>
                <w:tab w:val="left" w:pos="10224"/>
              </w:tabs>
              <w:ind w:left="0"/>
            </w:pPr>
            <w:r w:rsidRPr="009F03EA">
              <w:t>9.1222 Medical history indicative of disease shall be evaluated by a physician before acceptance of the donor.</w:t>
            </w:r>
          </w:p>
          <w:p w:rsidR="006C3317" w:rsidRPr="009F03EA" w:rsidRDefault="006C3317" w:rsidP="006C3317">
            <w:pPr>
              <w:tabs>
                <w:tab w:val="left" w:pos="2700"/>
                <w:tab w:val="left" w:pos="10224"/>
              </w:tabs>
              <w:ind w:left="0"/>
            </w:pPr>
          </w:p>
        </w:tc>
        <w:tc>
          <w:tcPr>
            <w:tcW w:w="4367" w:type="dxa"/>
          </w:tcPr>
          <w:p w:rsidR="006C3317" w:rsidRPr="006C3317" w:rsidRDefault="006C3317" w:rsidP="006C3317">
            <w:pPr>
              <w:tabs>
                <w:tab w:val="left" w:pos="2700"/>
                <w:tab w:val="left" w:pos="10224"/>
              </w:tabs>
              <w:ind w:left="0"/>
              <w:rPr>
                <w:strike/>
              </w:rPr>
            </w:pPr>
            <w:r w:rsidRPr="006C3317">
              <w:rPr>
                <w:strike/>
              </w:rPr>
              <w:t>Customized HLA Typing</w:t>
            </w:r>
          </w:p>
          <w:p w:rsidR="006C3317" w:rsidRPr="006C3317" w:rsidRDefault="006C3317" w:rsidP="006C3317">
            <w:pPr>
              <w:tabs>
                <w:tab w:val="left" w:pos="2700"/>
                <w:tab w:val="left" w:pos="10224"/>
              </w:tabs>
              <w:ind w:left="0"/>
              <w:rPr>
                <w:strike/>
              </w:rPr>
            </w:pPr>
            <w:r w:rsidRPr="006C3317">
              <w:rPr>
                <w:strike/>
              </w:rPr>
              <w:t>9.1210 If a stored sample is used for customized HLA typing, the potential donor shall be informed that the typing is in progress and shall be given the opportunity to continue or withdraw.</w:t>
            </w:r>
          </w:p>
          <w:p w:rsidR="006C3317" w:rsidRPr="006C3317" w:rsidRDefault="006C3317" w:rsidP="006C3317">
            <w:pPr>
              <w:tabs>
                <w:tab w:val="left" w:pos="2700"/>
                <w:tab w:val="left" w:pos="10224"/>
              </w:tabs>
              <w:ind w:left="0"/>
              <w:rPr>
                <w:strike/>
              </w:rPr>
            </w:pPr>
            <w:r w:rsidRPr="006C3317">
              <w:rPr>
                <w:strike/>
              </w:rPr>
              <w:t>9.1220 Donor center shall obtain from the donor a medical history that meets NMDP requirements for a marrow or apheresis donor</w:t>
            </w:r>
          </w:p>
          <w:p w:rsidR="006C3317" w:rsidRPr="006C3317" w:rsidRDefault="006C3317" w:rsidP="006C3317">
            <w:pPr>
              <w:tabs>
                <w:tab w:val="left" w:pos="2700"/>
                <w:tab w:val="left" w:pos="10224"/>
              </w:tabs>
              <w:ind w:left="0"/>
              <w:rPr>
                <w:strike/>
              </w:rPr>
            </w:pPr>
            <w:r w:rsidRPr="006C3317">
              <w:rPr>
                <w:strike/>
              </w:rPr>
              <w:t>9.1221 Donor center shall keep a written record of the medical history.</w:t>
            </w:r>
          </w:p>
          <w:p w:rsidR="006C3317" w:rsidRPr="009F03EA" w:rsidRDefault="006C3317" w:rsidP="00A166C8">
            <w:pPr>
              <w:tabs>
                <w:tab w:val="left" w:pos="2700"/>
                <w:tab w:val="left" w:pos="10224"/>
              </w:tabs>
              <w:ind w:left="0"/>
            </w:pPr>
            <w:r w:rsidRPr="006C3317">
              <w:rPr>
                <w:strike/>
              </w:rPr>
              <w:t>9.1222 Medical history indicative of disease shall be evaluated by a physician before acceptance of the donor.</w:t>
            </w:r>
          </w:p>
        </w:tc>
        <w:tc>
          <w:tcPr>
            <w:tcW w:w="2925" w:type="dxa"/>
          </w:tcPr>
          <w:p w:rsidR="006C3317" w:rsidRPr="009F03EA" w:rsidRDefault="00016D09" w:rsidP="00AA2B9C">
            <w:pPr>
              <w:ind w:left="0"/>
            </w:pPr>
            <w:r>
              <w:t xml:space="preserve">Donor is not necessarily notified as stated; NMDP is working to reduce the number of HHSQs; CT HHSQ may be eliminated. </w:t>
            </w:r>
          </w:p>
        </w:tc>
      </w:tr>
      <w:tr w:rsidR="006C3317" w:rsidRPr="000F3A8D" w:rsidTr="00C54831">
        <w:trPr>
          <w:trHeight w:val="720"/>
        </w:trPr>
        <w:tc>
          <w:tcPr>
            <w:tcW w:w="1975" w:type="dxa"/>
          </w:tcPr>
          <w:p w:rsidR="006C3317" w:rsidRDefault="006C3317" w:rsidP="006C3317">
            <w:r>
              <w:t>Renumbering standard</w:t>
            </w:r>
            <w:r w:rsidR="00A166C8">
              <w:t>s</w:t>
            </w:r>
          </w:p>
          <w:p w:rsidR="006C3317" w:rsidRPr="009F03EA" w:rsidRDefault="006C3317" w:rsidP="006C3317"/>
        </w:tc>
        <w:tc>
          <w:tcPr>
            <w:tcW w:w="4410" w:type="dxa"/>
          </w:tcPr>
          <w:p w:rsidR="006C3317" w:rsidRDefault="006C3317" w:rsidP="006C3317">
            <w:pPr>
              <w:tabs>
                <w:tab w:val="left" w:pos="2700"/>
                <w:tab w:val="left" w:pos="10224"/>
              </w:tabs>
              <w:ind w:left="0"/>
            </w:pPr>
            <w:r>
              <w:t>9.1300</w:t>
            </w:r>
          </w:p>
          <w:p w:rsidR="006C3317" w:rsidRDefault="006C3317" w:rsidP="006C3317">
            <w:pPr>
              <w:tabs>
                <w:tab w:val="left" w:pos="2700"/>
                <w:tab w:val="left" w:pos="10224"/>
              </w:tabs>
              <w:ind w:left="0"/>
            </w:pPr>
            <w:r>
              <w:t>9.1310</w:t>
            </w:r>
          </w:p>
          <w:p w:rsidR="006C3317" w:rsidRDefault="006C3317" w:rsidP="006C3317">
            <w:pPr>
              <w:tabs>
                <w:tab w:val="left" w:pos="2700"/>
                <w:tab w:val="left" w:pos="10224"/>
              </w:tabs>
              <w:ind w:left="0"/>
            </w:pPr>
            <w:r>
              <w:t>9.1320</w:t>
            </w:r>
          </w:p>
          <w:p w:rsidR="006C3317" w:rsidRDefault="006C3317" w:rsidP="006C3317">
            <w:pPr>
              <w:tabs>
                <w:tab w:val="left" w:pos="2700"/>
                <w:tab w:val="left" w:pos="10224"/>
              </w:tabs>
              <w:ind w:left="0"/>
            </w:pPr>
            <w:r>
              <w:t>9.1321</w:t>
            </w:r>
          </w:p>
          <w:p w:rsidR="006C3317" w:rsidRDefault="006C3317" w:rsidP="006C3317">
            <w:pPr>
              <w:tabs>
                <w:tab w:val="left" w:pos="2700"/>
                <w:tab w:val="left" w:pos="10224"/>
              </w:tabs>
              <w:ind w:left="0"/>
            </w:pPr>
            <w:r>
              <w:t>9.1322</w:t>
            </w:r>
          </w:p>
          <w:p w:rsidR="006C3317" w:rsidRDefault="006C3317" w:rsidP="006C3317">
            <w:pPr>
              <w:tabs>
                <w:tab w:val="left" w:pos="2700"/>
                <w:tab w:val="left" w:pos="10224"/>
              </w:tabs>
              <w:ind w:left="0"/>
            </w:pPr>
            <w:r>
              <w:t>9.1330</w:t>
            </w:r>
          </w:p>
          <w:p w:rsidR="006C3317" w:rsidRDefault="006C3317" w:rsidP="006C3317">
            <w:pPr>
              <w:tabs>
                <w:tab w:val="left" w:pos="2700"/>
                <w:tab w:val="left" w:pos="10224"/>
              </w:tabs>
              <w:ind w:left="0"/>
            </w:pPr>
            <w:r>
              <w:t>9.1340</w:t>
            </w:r>
          </w:p>
          <w:p w:rsidR="006C3317" w:rsidRDefault="006C3317" w:rsidP="006C3317">
            <w:pPr>
              <w:tabs>
                <w:tab w:val="left" w:pos="2700"/>
                <w:tab w:val="left" w:pos="10224"/>
              </w:tabs>
              <w:ind w:left="0"/>
            </w:pPr>
            <w:r>
              <w:t>9.1350</w:t>
            </w:r>
          </w:p>
          <w:p w:rsidR="006C3317" w:rsidRDefault="006C3317" w:rsidP="006C3317">
            <w:pPr>
              <w:tabs>
                <w:tab w:val="left" w:pos="2700"/>
                <w:tab w:val="left" w:pos="10224"/>
              </w:tabs>
              <w:ind w:left="0"/>
            </w:pPr>
            <w:r>
              <w:t>9.1351</w:t>
            </w:r>
          </w:p>
          <w:p w:rsidR="006C3317" w:rsidRDefault="006C3317" w:rsidP="006C3317">
            <w:pPr>
              <w:tabs>
                <w:tab w:val="left" w:pos="2700"/>
                <w:tab w:val="left" w:pos="10224"/>
              </w:tabs>
              <w:ind w:left="0"/>
            </w:pPr>
            <w:r>
              <w:t>9.1352</w:t>
            </w:r>
          </w:p>
          <w:p w:rsidR="006C3317" w:rsidRDefault="006C3317" w:rsidP="006C3317">
            <w:pPr>
              <w:tabs>
                <w:tab w:val="left" w:pos="2700"/>
                <w:tab w:val="left" w:pos="10224"/>
              </w:tabs>
              <w:ind w:left="0"/>
            </w:pPr>
            <w:r>
              <w:t>9.1360</w:t>
            </w:r>
          </w:p>
          <w:p w:rsidR="006C3317" w:rsidRDefault="006C3317" w:rsidP="006C3317">
            <w:pPr>
              <w:tabs>
                <w:tab w:val="left" w:pos="2700"/>
                <w:tab w:val="left" w:pos="10224"/>
              </w:tabs>
              <w:ind w:left="0"/>
            </w:pPr>
            <w:r>
              <w:t>9.1370</w:t>
            </w:r>
          </w:p>
          <w:p w:rsidR="006C3317" w:rsidRPr="009F03EA" w:rsidRDefault="006C3317" w:rsidP="006C3317">
            <w:pPr>
              <w:tabs>
                <w:tab w:val="left" w:pos="2700"/>
                <w:tab w:val="left" w:pos="10224"/>
              </w:tabs>
              <w:ind w:left="0"/>
            </w:pPr>
            <w:r>
              <w:t>9.1380</w:t>
            </w:r>
          </w:p>
        </w:tc>
        <w:tc>
          <w:tcPr>
            <w:tcW w:w="4367" w:type="dxa"/>
          </w:tcPr>
          <w:p w:rsidR="006C3317" w:rsidRDefault="006C3317" w:rsidP="006C3317">
            <w:pPr>
              <w:tabs>
                <w:tab w:val="left" w:pos="2700"/>
                <w:tab w:val="left" w:pos="10224"/>
              </w:tabs>
              <w:ind w:left="0"/>
            </w:pPr>
            <w:r>
              <w:t>9.1200</w:t>
            </w:r>
          </w:p>
          <w:p w:rsidR="006C3317" w:rsidRDefault="006C3317" w:rsidP="006C3317">
            <w:pPr>
              <w:tabs>
                <w:tab w:val="left" w:pos="2700"/>
                <w:tab w:val="left" w:pos="10224"/>
              </w:tabs>
              <w:ind w:left="0"/>
            </w:pPr>
            <w:r>
              <w:t>9.1210</w:t>
            </w:r>
          </w:p>
          <w:p w:rsidR="006C3317" w:rsidRDefault="006C3317" w:rsidP="006C3317">
            <w:pPr>
              <w:tabs>
                <w:tab w:val="left" w:pos="2700"/>
                <w:tab w:val="left" w:pos="10224"/>
              </w:tabs>
              <w:ind w:left="0"/>
            </w:pPr>
            <w:r>
              <w:t>9.1220</w:t>
            </w:r>
          </w:p>
          <w:p w:rsidR="006C3317" w:rsidRDefault="006C3317" w:rsidP="006C3317">
            <w:pPr>
              <w:tabs>
                <w:tab w:val="left" w:pos="2700"/>
                <w:tab w:val="left" w:pos="10224"/>
              </w:tabs>
              <w:ind w:left="0"/>
            </w:pPr>
            <w:r>
              <w:t>9.1221</w:t>
            </w:r>
          </w:p>
          <w:p w:rsidR="006C3317" w:rsidRDefault="006C3317" w:rsidP="006C3317">
            <w:pPr>
              <w:tabs>
                <w:tab w:val="left" w:pos="2700"/>
                <w:tab w:val="left" w:pos="10224"/>
              </w:tabs>
              <w:ind w:left="0"/>
            </w:pPr>
            <w:r>
              <w:t>9.1222</w:t>
            </w:r>
          </w:p>
          <w:p w:rsidR="006C3317" w:rsidRDefault="006C3317" w:rsidP="006C3317">
            <w:pPr>
              <w:tabs>
                <w:tab w:val="left" w:pos="2700"/>
                <w:tab w:val="left" w:pos="10224"/>
              </w:tabs>
              <w:ind w:left="0"/>
            </w:pPr>
            <w:r>
              <w:t>9.1230</w:t>
            </w:r>
          </w:p>
          <w:p w:rsidR="006C3317" w:rsidRDefault="006C3317" w:rsidP="006C3317">
            <w:pPr>
              <w:tabs>
                <w:tab w:val="left" w:pos="2700"/>
                <w:tab w:val="left" w:pos="10224"/>
              </w:tabs>
              <w:ind w:left="0"/>
            </w:pPr>
            <w:r>
              <w:t>9.1240</w:t>
            </w:r>
          </w:p>
          <w:p w:rsidR="006C3317" w:rsidRDefault="006C3317" w:rsidP="006C3317">
            <w:pPr>
              <w:tabs>
                <w:tab w:val="left" w:pos="2700"/>
                <w:tab w:val="left" w:pos="10224"/>
              </w:tabs>
              <w:ind w:left="0"/>
            </w:pPr>
            <w:r>
              <w:t>9.1250</w:t>
            </w:r>
          </w:p>
          <w:p w:rsidR="006C3317" w:rsidRDefault="006C3317" w:rsidP="006C3317">
            <w:pPr>
              <w:tabs>
                <w:tab w:val="left" w:pos="2700"/>
                <w:tab w:val="left" w:pos="10224"/>
              </w:tabs>
              <w:ind w:left="0"/>
            </w:pPr>
            <w:r>
              <w:t>9.1251</w:t>
            </w:r>
          </w:p>
          <w:p w:rsidR="006C3317" w:rsidRDefault="006C3317" w:rsidP="006C3317">
            <w:pPr>
              <w:tabs>
                <w:tab w:val="left" w:pos="2700"/>
                <w:tab w:val="left" w:pos="10224"/>
              </w:tabs>
              <w:ind w:left="0"/>
            </w:pPr>
            <w:r>
              <w:t>9.1252</w:t>
            </w:r>
          </w:p>
          <w:p w:rsidR="006C3317" w:rsidRDefault="006C3317" w:rsidP="006C3317">
            <w:pPr>
              <w:tabs>
                <w:tab w:val="left" w:pos="2700"/>
                <w:tab w:val="left" w:pos="10224"/>
              </w:tabs>
              <w:ind w:left="0"/>
            </w:pPr>
            <w:r>
              <w:t>9.1260</w:t>
            </w:r>
          </w:p>
          <w:p w:rsidR="006C3317" w:rsidRDefault="006C3317" w:rsidP="006C3317">
            <w:pPr>
              <w:tabs>
                <w:tab w:val="left" w:pos="2700"/>
                <w:tab w:val="left" w:pos="10224"/>
              </w:tabs>
              <w:ind w:left="0"/>
            </w:pPr>
            <w:r>
              <w:t>9.1270</w:t>
            </w:r>
          </w:p>
          <w:p w:rsidR="006C3317" w:rsidRPr="009F03EA" w:rsidRDefault="006C3317" w:rsidP="00A166C8">
            <w:pPr>
              <w:tabs>
                <w:tab w:val="left" w:pos="2700"/>
                <w:tab w:val="left" w:pos="10224"/>
              </w:tabs>
              <w:ind w:left="0"/>
            </w:pPr>
            <w:r>
              <w:t>9.1280</w:t>
            </w:r>
          </w:p>
        </w:tc>
        <w:tc>
          <w:tcPr>
            <w:tcW w:w="2925" w:type="dxa"/>
          </w:tcPr>
          <w:p w:rsidR="006C3317" w:rsidRDefault="006C3317" w:rsidP="006C3317">
            <w:pPr>
              <w:ind w:left="0"/>
            </w:pPr>
            <w:r>
              <w:t>9.1200 deleted</w:t>
            </w:r>
            <w:r w:rsidR="00A166C8">
              <w:t>; standards renumbered accordingly.</w:t>
            </w:r>
          </w:p>
        </w:tc>
      </w:tr>
      <w:tr w:rsidR="006C3317" w:rsidRPr="000F3A8D" w:rsidTr="00C54831">
        <w:trPr>
          <w:trHeight w:val="720"/>
        </w:trPr>
        <w:tc>
          <w:tcPr>
            <w:tcW w:w="1975" w:type="dxa"/>
          </w:tcPr>
          <w:p w:rsidR="006C3317" w:rsidRPr="009F03EA" w:rsidRDefault="006C3317" w:rsidP="006C3317">
            <w:r w:rsidRPr="009F03EA">
              <w:t>9.1322</w:t>
            </w:r>
          </w:p>
          <w:p w:rsidR="006C3317" w:rsidRPr="009F03EA" w:rsidRDefault="006C3317" w:rsidP="006C3317"/>
        </w:tc>
        <w:tc>
          <w:tcPr>
            <w:tcW w:w="4410" w:type="dxa"/>
          </w:tcPr>
          <w:p w:rsidR="006C3317" w:rsidRPr="009F03EA" w:rsidRDefault="006C3317" w:rsidP="006C3317">
            <w:r w:rsidRPr="009F03EA">
              <w:t>Medical history indicative of disease shall be evaluated by a physician before acceptance of the donor.</w:t>
            </w:r>
          </w:p>
          <w:p w:rsidR="006C3317" w:rsidRPr="009F03EA" w:rsidRDefault="006C3317" w:rsidP="006C3317"/>
        </w:tc>
        <w:tc>
          <w:tcPr>
            <w:tcW w:w="4367" w:type="dxa"/>
          </w:tcPr>
          <w:p w:rsidR="006C3317" w:rsidRPr="009F03EA" w:rsidRDefault="006C3317" w:rsidP="006C3317">
            <w:pPr>
              <w:rPr>
                <w:strike/>
                <w:color w:val="FF0000"/>
              </w:rPr>
            </w:pPr>
            <w:r w:rsidRPr="009F03EA">
              <w:t xml:space="preserve">Medical history indicative of disease shall be evaluated by a physician before </w:t>
            </w:r>
            <w:r w:rsidRPr="009F03EA">
              <w:rPr>
                <w:color w:val="FF0000"/>
              </w:rPr>
              <w:t>proceeding</w:t>
            </w:r>
            <w:r w:rsidRPr="009F03EA">
              <w:t xml:space="preserve"> </w:t>
            </w:r>
            <w:r w:rsidRPr="009F03EA">
              <w:rPr>
                <w:strike/>
                <w:color w:val="auto"/>
              </w:rPr>
              <w:t>acceptance of the donor.</w:t>
            </w:r>
          </w:p>
          <w:p w:rsidR="006C3317" w:rsidRPr="009F03EA" w:rsidRDefault="006C3317" w:rsidP="006C3317"/>
        </w:tc>
        <w:tc>
          <w:tcPr>
            <w:tcW w:w="2925" w:type="dxa"/>
          </w:tcPr>
          <w:p w:rsidR="006C3317" w:rsidRDefault="006C3317" w:rsidP="006C3317">
            <w:r>
              <w:t xml:space="preserve">There isn’t </w:t>
            </w:r>
            <w:r w:rsidRPr="009F03EA">
              <w:t>“</w:t>
            </w:r>
            <w:r>
              <w:t>a</w:t>
            </w:r>
            <w:r w:rsidRPr="009F03EA">
              <w:t xml:space="preserve">cceptance” </w:t>
            </w:r>
            <w:r>
              <w:t>of the donor; the donor moves through the donation process after evaluation by a physician.</w:t>
            </w:r>
          </w:p>
          <w:p w:rsidR="00A166C8" w:rsidRPr="009F03EA" w:rsidRDefault="00A166C8" w:rsidP="006C3317">
            <w:r w:rsidRPr="009F03EA">
              <w:t>23</w:t>
            </w:r>
            <w:r w:rsidRPr="009F03EA">
              <w:rPr>
                <w:vertAlign w:val="superscript"/>
              </w:rPr>
              <w:t>rd</w:t>
            </w:r>
            <w:r w:rsidRPr="009F03EA">
              <w:t xml:space="preserve"> Edition this becomes 9.1222</w:t>
            </w:r>
          </w:p>
        </w:tc>
      </w:tr>
      <w:tr w:rsidR="006C3317" w:rsidRPr="000F3A8D" w:rsidTr="00C54831">
        <w:trPr>
          <w:trHeight w:val="720"/>
        </w:trPr>
        <w:tc>
          <w:tcPr>
            <w:tcW w:w="1975" w:type="dxa"/>
          </w:tcPr>
          <w:p w:rsidR="006C3317" w:rsidRPr="009F03EA" w:rsidRDefault="006C3317" w:rsidP="006C3317">
            <w:r w:rsidRPr="009F03EA">
              <w:t>9.1351</w:t>
            </w:r>
          </w:p>
          <w:p w:rsidR="006C3317" w:rsidRPr="009F03EA" w:rsidRDefault="006C3317" w:rsidP="006C3317"/>
        </w:tc>
        <w:tc>
          <w:tcPr>
            <w:tcW w:w="4410" w:type="dxa"/>
          </w:tcPr>
          <w:p w:rsidR="006C3317" w:rsidRPr="009F03EA" w:rsidRDefault="006C3317" w:rsidP="006C3317">
            <w:r w:rsidRPr="009F03EA">
              <w:t xml:space="preserve">Donors with a confirmed positive test for relevant communicable disease agents (e.g. </w:t>
            </w:r>
            <w:proofErr w:type="spellStart"/>
            <w:r w:rsidRPr="009F03EA">
              <w:t>HBsAg</w:t>
            </w:r>
            <w:proofErr w:type="spellEnd"/>
            <w:r w:rsidRPr="009F03EA">
              <w:t xml:space="preserve"> or HCV) shall not be used unless urgent medical need is documented.</w:t>
            </w:r>
          </w:p>
          <w:p w:rsidR="006C3317" w:rsidRPr="009F03EA" w:rsidRDefault="006C3317" w:rsidP="006C3317"/>
        </w:tc>
        <w:tc>
          <w:tcPr>
            <w:tcW w:w="4367" w:type="dxa"/>
          </w:tcPr>
          <w:p w:rsidR="006C3317" w:rsidRPr="009F03EA" w:rsidRDefault="006C3317" w:rsidP="006C3317">
            <w:r w:rsidRPr="009F03EA">
              <w:t>Donors with a confirmed positive test for relevant communicable disease agents (e.g</w:t>
            </w:r>
            <w:r w:rsidRPr="009F03EA">
              <w:rPr>
                <w:color w:val="auto"/>
              </w:rPr>
              <w:t>.</w:t>
            </w:r>
            <w:r w:rsidRPr="009F03EA">
              <w:rPr>
                <w:strike/>
                <w:color w:val="auto"/>
              </w:rPr>
              <w:t xml:space="preserve"> </w:t>
            </w:r>
            <w:proofErr w:type="spellStart"/>
            <w:r w:rsidRPr="009F03EA">
              <w:rPr>
                <w:strike/>
                <w:color w:val="auto"/>
              </w:rPr>
              <w:t>HBsAg</w:t>
            </w:r>
            <w:proofErr w:type="spellEnd"/>
            <w:r w:rsidRPr="009F03EA">
              <w:rPr>
                <w:color w:val="auto"/>
              </w:rPr>
              <w:t xml:space="preserve"> </w:t>
            </w:r>
            <w:r w:rsidRPr="009F03EA">
              <w:rPr>
                <w:color w:val="FF0000"/>
              </w:rPr>
              <w:t xml:space="preserve">HBV </w:t>
            </w:r>
            <w:r w:rsidRPr="009F03EA">
              <w:t>or HCV) shall not be used unless urgent medical need is documented.</w:t>
            </w:r>
          </w:p>
          <w:p w:rsidR="006C3317" w:rsidRPr="009F03EA" w:rsidRDefault="006C3317" w:rsidP="006C3317"/>
        </w:tc>
        <w:tc>
          <w:tcPr>
            <w:tcW w:w="2925" w:type="dxa"/>
          </w:tcPr>
          <w:p w:rsidR="006C3317" w:rsidRDefault="006C3317" w:rsidP="006C3317">
            <w:r w:rsidRPr="009F03EA">
              <w:t xml:space="preserve">Revised so both examples are disease agents. </w:t>
            </w:r>
          </w:p>
          <w:p w:rsidR="00A166C8" w:rsidRPr="009F03EA" w:rsidRDefault="00A166C8" w:rsidP="00A166C8">
            <w:r w:rsidRPr="009F03EA">
              <w:t>23</w:t>
            </w:r>
            <w:r w:rsidRPr="009F03EA">
              <w:rPr>
                <w:vertAlign w:val="superscript"/>
              </w:rPr>
              <w:t>rd</w:t>
            </w:r>
            <w:r w:rsidRPr="009F03EA">
              <w:t xml:space="preserve"> Edition this becomes </w:t>
            </w:r>
          </w:p>
          <w:p w:rsidR="00A166C8" w:rsidRPr="009F03EA" w:rsidRDefault="00A166C8" w:rsidP="00A166C8">
            <w:r w:rsidRPr="009F03EA">
              <w:t>9.1251</w:t>
            </w:r>
          </w:p>
        </w:tc>
      </w:tr>
      <w:tr w:rsidR="006C3317" w:rsidRPr="000F3A8D" w:rsidTr="00C54831">
        <w:trPr>
          <w:trHeight w:val="720"/>
        </w:trPr>
        <w:tc>
          <w:tcPr>
            <w:tcW w:w="1975" w:type="dxa"/>
          </w:tcPr>
          <w:p w:rsidR="006C3317" w:rsidRPr="009F03EA" w:rsidRDefault="006C3317" w:rsidP="006C3317">
            <w:r>
              <w:t>9.2420</w:t>
            </w:r>
          </w:p>
        </w:tc>
        <w:tc>
          <w:tcPr>
            <w:tcW w:w="4410" w:type="dxa"/>
          </w:tcPr>
          <w:p w:rsidR="006C3317" w:rsidRPr="009F03EA" w:rsidRDefault="006C3317" w:rsidP="006C3317">
            <w:r w:rsidRPr="009F03EA">
              <w:t>Possibility of central venous catheter placement, along with its risks and discomforts.</w:t>
            </w:r>
          </w:p>
        </w:tc>
        <w:tc>
          <w:tcPr>
            <w:tcW w:w="4367" w:type="dxa"/>
          </w:tcPr>
          <w:p w:rsidR="006C3317" w:rsidRPr="009F03EA" w:rsidRDefault="006C3317" w:rsidP="00A166C8">
            <w:r w:rsidRPr="009F03EA">
              <w:t xml:space="preserve">Possibility of central venous catheter placement, along with its risks, </w:t>
            </w:r>
            <w:r w:rsidRPr="009F03EA">
              <w:rPr>
                <w:strike/>
              </w:rPr>
              <w:t>and</w:t>
            </w:r>
            <w:r w:rsidRPr="009F03EA">
              <w:t xml:space="preserve"> discomforts, </w:t>
            </w:r>
            <w:r w:rsidRPr="009F03EA">
              <w:rPr>
                <w:color w:val="FF0000"/>
              </w:rPr>
              <w:t>and mental/emotional stress.</w:t>
            </w:r>
          </w:p>
        </w:tc>
        <w:tc>
          <w:tcPr>
            <w:tcW w:w="2925" w:type="dxa"/>
          </w:tcPr>
          <w:p w:rsidR="006C3317" w:rsidRPr="009F03EA" w:rsidRDefault="006C3317" w:rsidP="006C3317">
            <w:r w:rsidRPr="009F03EA">
              <w:t>Revised to align with 9.2320</w:t>
            </w:r>
          </w:p>
        </w:tc>
      </w:tr>
      <w:tr w:rsidR="006C3317" w:rsidRPr="000F3A8D" w:rsidTr="00C54831">
        <w:trPr>
          <w:trHeight w:val="720"/>
        </w:trPr>
        <w:tc>
          <w:tcPr>
            <w:tcW w:w="1975" w:type="dxa"/>
          </w:tcPr>
          <w:p w:rsidR="006C3317" w:rsidRPr="009F03EA" w:rsidRDefault="006C3317" w:rsidP="006C3317">
            <w:r w:rsidRPr="009F03EA">
              <w:t>9.3330</w:t>
            </w:r>
            <w:r w:rsidRPr="009F03EA">
              <w:tab/>
            </w:r>
          </w:p>
        </w:tc>
        <w:tc>
          <w:tcPr>
            <w:tcW w:w="4410" w:type="dxa"/>
          </w:tcPr>
          <w:p w:rsidR="006C3317" w:rsidRPr="009F03EA" w:rsidRDefault="006C3317" w:rsidP="006C3317">
            <w:r w:rsidRPr="009F03EA">
              <w:t>Examining practitioner shall not be part of the transplant team of the center performing the transplant.</w:t>
            </w:r>
          </w:p>
        </w:tc>
        <w:tc>
          <w:tcPr>
            <w:tcW w:w="4367" w:type="dxa"/>
          </w:tcPr>
          <w:p w:rsidR="006C3317" w:rsidRPr="009F03EA" w:rsidRDefault="006C3317" w:rsidP="006C3317">
            <w:r w:rsidRPr="009F03EA">
              <w:t xml:space="preserve">Examining practitioner shall not be </w:t>
            </w:r>
            <w:r w:rsidRPr="009F03EA">
              <w:rPr>
                <w:color w:val="FF0000"/>
              </w:rPr>
              <w:t>the primary practitioner overseeing the care of the recipient</w:t>
            </w:r>
            <w:r w:rsidRPr="009F03EA">
              <w:t xml:space="preserve">. </w:t>
            </w:r>
            <w:proofErr w:type="gramStart"/>
            <w:r w:rsidRPr="009F03EA">
              <w:rPr>
                <w:strike/>
              </w:rPr>
              <w:t>part</w:t>
            </w:r>
            <w:proofErr w:type="gramEnd"/>
            <w:r w:rsidRPr="009F03EA">
              <w:rPr>
                <w:strike/>
              </w:rPr>
              <w:t xml:space="preserve"> of the transplant team of the center performing the transplant.</w:t>
            </w:r>
          </w:p>
        </w:tc>
        <w:tc>
          <w:tcPr>
            <w:tcW w:w="2925" w:type="dxa"/>
          </w:tcPr>
          <w:p w:rsidR="006C3317" w:rsidRPr="009F03EA" w:rsidRDefault="006C3317" w:rsidP="006C3317">
            <w:r w:rsidRPr="009F03EA">
              <w:t xml:space="preserve">Practitioner could be considered part of the transplant team, but not be involved with the recipient; and would be appropriate to examine the donor. </w:t>
            </w:r>
          </w:p>
        </w:tc>
      </w:tr>
      <w:tr w:rsidR="00C914F2" w:rsidRPr="000F3A8D" w:rsidTr="00C54831">
        <w:trPr>
          <w:trHeight w:val="720"/>
        </w:trPr>
        <w:tc>
          <w:tcPr>
            <w:tcW w:w="1975" w:type="dxa"/>
          </w:tcPr>
          <w:p w:rsidR="00C914F2" w:rsidRPr="009F03EA" w:rsidRDefault="00C914F2" w:rsidP="006C3317">
            <w:r>
              <w:t>9.3350</w:t>
            </w:r>
          </w:p>
        </w:tc>
        <w:tc>
          <w:tcPr>
            <w:tcW w:w="4410" w:type="dxa"/>
          </w:tcPr>
          <w:p w:rsidR="00C914F2" w:rsidRPr="00C914F2" w:rsidRDefault="00C914F2" w:rsidP="00C914F2">
            <w:r w:rsidRPr="00C914F2">
              <w:t>Examining practitioner shall obtain and evaluate at a minimum the results of the following tests:</w:t>
            </w:r>
          </w:p>
          <w:p w:rsidR="00C914F2" w:rsidRPr="00C914F2" w:rsidRDefault="00C914F2" w:rsidP="00C914F2">
            <w:r w:rsidRPr="00C914F2">
              <w:t>9.3351</w:t>
            </w:r>
            <w:r w:rsidRPr="00C914F2">
              <w:tab/>
              <w:t>Chest X-ray</w:t>
            </w:r>
          </w:p>
          <w:p w:rsidR="00C914F2" w:rsidRPr="00C914F2" w:rsidRDefault="00C914F2" w:rsidP="00C914F2">
            <w:r w:rsidRPr="00C914F2">
              <w:t>9.3352</w:t>
            </w:r>
            <w:r w:rsidRPr="00C914F2">
              <w:tab/>
              <w:t>Electrocardiogram</w:t>
            </w:r>
          </w:p>
          <w:p w:rsidR="00C914F2" w:rsidRPr="00C914F2" w:rsidRDefault="00C914F2" w:rsidP="00C914F2">
            <w:r w:rsidRPr="00C914F2">
              <w:t>9.3353</w:t>
            </w:r>
            <w:r w:rsidRPr="00C914F2">
              <w:tab/>
              <w:t>Urinalysis</w:t>
            </w:r>
          </w:p>
          <w:p w:rsidR="00C914F2" w:rsidRPr="00C914F2" w:rsidRDefault="00C914F2" w:rsidP="00C914F2">
            <w:r w:rsidRPr="00C914F2">
              <w:t>9.3354</w:t>
            </w:r>
            <w:r w:rsidRPr="00C914F2">
              <w:tab/>
              <w:t>Complete blood count</w:t>
            </w:r>
          </w:p>
          <w:p w:rsidR="00C914F2" w:rsidRPr="00C914F2" w:rsidRDefault="00C914F2" w:rsidP="00C914F2">
            <w:r w:rsidRPr="00C914F2">
              <w:t>9.3355</w:t>
            </w:r>
            <w:r w:rsidRPr="00C914F2">
              <w:tab/>
              <w:t>Electrolytes, glucose</w:t>
            </w:r>
          </w:p>
          <w:p w:rsidR="00C914F2" w:rsidRPr="00C914F2" w:rsidRDefault="00C914F2" w:rsidP="00C914F2">
            <w:r w:rsidRPr="00C914F2">
              <w:t>9.3356</w:t>
            </w:r>
            <w:r w:rsidRPr="00C914F2">
              <w:tab/>
              <w:t>Blood urea nitrogen and creatinine</w:t>
            </w:r>
          </w:p>
          <w:p w:rsidR="00C914F2" w:rsidRPr="00C914F2" w:rsidRDefault="00C914F2" w:rsidP="00C914F2">
            <w:r w:rsidRPr="00C914F2">
              <w:t>9.3357</w:t>
            </w:r>
            <w:r w:rsidRPr="00C914F2">
              <w:tab/>
              <w:t>Serum protein plus albumin or serum protein electrophoresis</w:t>
            </w:r>
          </w:p>
          <w:p w:rsidR="00C914F2" w:rsidRPr="00C914F2" w:rsidRDefault="00C914F2" w:rsidP="00C914F2">
            <w:r w:rsidRPr="00C914F2">
              <w:t>9.3358</w:t>
            </w:r>
            <w:r w:rsidRPr="00C914F2">
              <w:tab/>
              <w:t xml:space="preserve">Screening for Hemoglobin S </w:t>
            </w:r>
          </w:p>
          <w:p w:rsidR="00C914F2" w:rsidRPr="009F03EA" w:rsidRDefault="00C914F2" w:rsidP="006C3317"/>
        </w:tc>
        <w:tc>
          <w:tcPr>
            <w:tcW w:w="4367" w:type="dxa"/>
          </w:tcPr>
          <w:p w:rsidR="00C914F2" w:rsidRPr="00C914F2" w:rsidRDefault="00C914F2" w:rsidP="00C914F2">
            <w:pPr>
              <w:rPr>
                <w:strike/>
              </w:rPr>
            </w:pPr>
            <w:r w:rsidRPr="00C914F2">
              <w:t xml:space="preserve">Examining practitioner shall </w:t>
            </w:r>
            <w:r>
              <w:t xml:space="preserve">obtain and </w:t>
            </w:r>
            <w:r w:rsidRPr="00C914F2">
              <w:rPr>
                <w:color w:val="auto"/>
              </w:rPr>
              <w:t>evaluate</w:t>
            </w:r>
            <w:r w:rsidRPr="00C914F2">
              <w:rPr>
                <w:color w:val="FF0000"/>
              </w:rPr>
              <w:t xml:space="preserve"> donor testing per NMDP policies and procedures</w:t>
            </w:r>
            <w:r>
              <w:rPr>
                <w:color w:val="FF0000"/>
              </w:rPr>
              <w:t>.</w:t>
            </w:r>
            <w:r w:rsidRPr="00C914F2">
              <w:rPr>
                <w:color w:val="FF0000"/>
              </w:rPr>
              <w:t xml:space="preserve"> </w:t>
            </w:r>
            <w:r w:rsidRPr="00C914F2">
              <w:rPr>
                <w:strike/>
              </w:rPr>
              <w:t>and evaluate at a minimum the results of the following tests:</w:t>
            </w:r>
          </w:p>
          <w:p w:rsidR="00C914F2" w:rsidRPr="00C914F2" w:rsidRDefault="00C914F2" w:rsidP="00C914F2">
            <w:pPr>
              <w:rPr>
                <w:strike/>
              </w:rPr>
            </w:pPr>
            <w:r w:rsidRPr="00C914F2">
              <w:rPr>
                <w:strike/>
              </w:rPr>
              <w:t>9.3351</w:t>
            </w:r>
            <w:r w:rsidRPr="00C914F2">
              <w:rPr>
                <w:strike/>
              </w:rPr>
              <w:tab/>
              <w:t>Chest X-ray</w:t>
            </w:r>
          </w:p>
          <w:p w:rsidR="00C914F2" w:rsidRPr="00C914F2" w:rsidRDefault="00C914F2" w:rsidP="00C914F2">
            <w:pPr>
              <w:rPr>
                <w:strike/>
              </w:rPr>
            </w:pPr>
            <w:r w:rsidRPr="00C914F2">
              <w:rPr>
                <w:strike/>
              </w:rPr>
              <w:t>9.3352</w:t>
            </w:r>
            <w:r w:rsidRPr="00C914F2">
              <w:rPr>
                <w:strike/>
              </w:rPr>
              <w:tab/>
              <w:t>Electrocardiogram</w:t>
            </w:r>
          </w:p>
          <w:p w:rsidR="00C914F2" w:rsidRPr="00C914F2" w:rsidRDefault="00C914F2" w:rsidP="00C914F2">
            <w:pPr>
              <w:rPr>
                <w:strike/>
              </w:rPr>
            </w:pPr>
            <w:r w:rsidRPr="00C914F2">
              <w:rPr>
                <w:strike/>
              </w:rPr>
              <w:t>9.3353</w:t>
            </w:r>
            <w:r w:rsidRPr="00C914F2">
              <w:rPr>
                <w:strike/>
              </w:rPr>
              <w:tab/>
              <w:t>Urinalysis</w:t>
            </w:r>
          </w:p>
          <w:p w:rsidR="00C914F2" w:rsidRPr="00C914F2" w:rsidRDefault="00C914F2" w:rsidP="00C914F2">
            <w:pPr>
              <w:rPr>
                <w:strike/>
              </w:rPr>
            </w:pPr>
            <w:r w:rsidRPr="00C914F2">
              <w:rPr>
                <w:strike/>
              </w:rPr>
              <w:t>9.3354</w:t>
            </w:r>
            <w:r w:rsidRPr="00C914F2">
              <w:rPr>
                <w:strike/>
              </w:rPr>
              <w:tab/>
              <w:t>Complete blood count</w:t>
            </w:r>
          </w:p>
          <w:p w:rsidR="00C914F2" w:rsidRPr="00C914F2" w:rsidRDefault="00C914F2" w:rsidP="00C914F2">
            <w:pPr>
              <w:rPr>
                <w:strike/>
              </w:rPr>
            </w:pPr>
            <w:r w:rsidRPr="00C914F2">
              <w:rPr>
                <w:strike/>
              </w:rPr>
              <w:t>9.3355</w:t>
            </w:r>
            <w:r w:rsidRPr="00C914F2">
              <w:rPr>
                <w:strike/>
              </w:rPr>
              <w:tab/>
              <w:t>Electrolytes, glucose</w:t>
            </w:r>
          </w:p>
          <w:p w:rsidR="00C914F2" w:rsidRPr="00C914F2" w:rsidRDefault="00C914F2" w:rsidP="00C914F2">
            <w:pPr>
              <w:rPr>
                <w:strike/>
              </w:rPr>
            </w:pPr>
            <w:r w:rsidRPr="00C914F2">
              <w:rPr>
                <w:strike/>
              </w:rPr>
              <w:t>9.3356</w:t>
            </w:r>
            <w:r w:rsidRPr="00C914F2">
              <w:rPr>
                <w:strike/>
              </w:rPr>
              <w:tab/>
              <w:t>Blood urea nitrogen and creatinine</w:t>
            </w:r>
          </w:p>
          <w:p w:rsidR="00C914F2" w:rsidRPr="00C914F2" w:rsidRDefault="00C914F2" w:rsidP="00C914F2">
            <w:pPr>
              <w:rPr>
                <w:strike/>
              </w:rPr>
            </w:pPr>
            <w:r w:rsidRPr="00C914F2">
              <w:rPr>
                <w:strike/>
              </w:rPr>
              <w:t>9.3357</w:t>
            </w:r>
            <w:r w:rsidRPr="00C914F2">
              <w:rPr>
                <w:strike/>
              </w:rPr>
              <w:tab/>
              <w:t>Serum protein plus albumin or serum protein electrophoresis</w:t>
            </w:r>
          </w:p>
          <w:p w:rsidR="00C914F2" w:rsidRPr="00C914F2" w:rsidRDefault="00C914F2" w:rsidP="00C914F2">
            <w:pPr>
              <w:rPr>
                <w:strike/>
              </w:rPr>
            </w:pPr>
            <w:r w:rsidRPr="00C914F2">
              <w:rPr>
                <w:strike/>
              </w:rPr>
              <w:t>9.3358</w:t>
            </w:r>
            <w:r w:rsidRPr="00C914F2">
              <w:rPr>
                <w:strike/>
              </w:rPr>
              <w:tab/>
              <w:t xml:space="preserve">Screening for Hemoglobin S </w:t>
            </w:r>
          </w:p>
          <w:p w:rsidR="00C914F2" w:rsidRPr="009F03EA" w:rsidRDefault="00C914F2" w:rsidP="006C3317"/>
        </w:tc>
        <w:tc>
          <w:tcPr>
            <w:tcW w:w="2925" w:type="dxa"/>
          </w:tcPr>
          <w:p w:rsidR="00C914F2" w:rsidRPr="009F03EA" w:rsidRDefault="00C914F2" w:rsidP="006C3317">
            <w:r>
              <w:t xml:space="preserve">Criteria are outlined in the protocol and MOP. </w:t>
            </w:r>
          </w:p>
        </w:tc>
      </w:tr>
      <w:tr w:rsidR="006C3317" w:rsidRPr="000F3A8D" w:rsidTr="00C54831">
        <w:trPr>
          <w:trHeight w:val="720"/>
        </w:trPr>
        <w:tc>
          <w:tcPr>
            <w:tcW w:w="1975" w:type="dxa"/>
          </w:tcPr>
          <w:p w:rsidR="006C3317" w:rsidRPr="009F03EA" w:rsidRDefault="006C3317" w:rsidP="006C3317">
            <w:r w:rsidRPr="009F03EA">
              <w:t>9.7110</w:t>
            </w:r>
          </w:p>
        </w:tc>
        <w:tc>
          <w:tcPr>
            <w:tcW w:w="4410" w:type="dxa"/>
          </w:tcPr>
          <w:p w:rsidR="006C3317" w:rsidRPr="009F03EA" w:rsidRDefault="006C3317" w:rsidP="006C3317">
            <w:r w:rsidRPr="009F03EA">
              <w:t xml:space="preserve">Telephone call or direct conversation with the donor shall be made within 48 hours of the donation. </w:t>
            </w:r>
          </w:p>
        </w:tc>
        <w:tc>
          <w:tcPr>
            <w:tcW w:w="4367" w:type="dxa"/>
          </w:tcPr>
          <w:p w:rsidR="006C3317" w:rsidRPr="009F03EA" w:rsidRDefault="006C3317" w:rsidP="006C3317">
            <w:r w:rsidRPr="009F03EA">
              <w:t xml:space="preserve">Telephone call or direct conversation with the donor shall be made within 48 hours </w:t>
            </w:r>
            <w:r w:rsidRPr="009F03EA">
              <w:rPr>
                <w:strike/>
              </w:rPr>
              <w:t>of the donation</w:t>
            </w:r>
            <w:r w:rsidRPr="009F03EA">
              <w:t xml:space="preserve"> </w:t>
            </w:r>
            <w:r w:rsidRPr="009F03EA">
              <w:rPr>
                <w:color w:val="FF0000"/>
              </w:rPr>
              <w:t>after discharge from the collection facility.</w:t>
            </w:r>
          </w:p>
        </w:tc>
        <w:tc>
          <w:tcPr>
            <w:tcW w:w="2925" w:type="dxa"/>
          </w:tcPr>
          <w:p w:rsidR="006C3317" w:rsidRPr="009F03EA" w:rsidRDefault="006C3317" w:rsidP="006C3317">
            <w:r w:rsidRPr="009F03EA">
              <w:t>Revised to clarify that some time should elapse; a conversation an hour after collection doesn’t suffice.</w:t>
            </w:r>
          </w:p>
        </w:tc>
      </w:tr>
      <w:tr w:rsidR="006C3317" w:rsidRPr="000F3A8D" w:rsidTr="00C54831">
        <w:trPr>
          <w:trHeight w:val="720"/>
        </w:trPr>
        <w:tc>
          <w:tcPr>
            <w:tcW w:w="1975" w:type="dxa"/>
          </w:tcPr>
          <w:p w:rsidR="006C3317" w:rsidRPr="009F03EA" w:rsidRDefault="006C3317" w:rsidP="006C3317">
            <w:r w:rsidRPr="009F03EA">
              <w:t>9.7210</w:t>
            </w:r>
          </w:p>
        </w:tc>
        <w:tc>
          <w:tcPr>
            <w:tcW w:w="4410" w:type="dxa"/>
          </w:tcPr>
          <w:p w:rsidR="006C3317" w:rsidRPr="009F03EA" w:rsidRDefault="006C3317" w:rsidP="006C3317">
            <w:r w:rsidRPr="009F03EA">
              <w:t>The maximum number of donations from a given donor is limited according to NMDP policy</w:t>
            </w:r>
          </w:p>
        </w:tc>
        <w:tc>
          <w:tcPr>
            <w:tcW w:w="4367" w:type="dxa"/>
          </w:tcPr>
          <w:p w:rsidR="006C3317" w:rsidRPr="006C3317" w:rsidRDefault="006C3317" w:rsidP="006C3317">
            <w:pPr>
              <w:rPr>
                <w:strike/>
              </w:rPr>
            </w:pPr>
            <w:r w:rsidRPr="006C3317">
              <w:rPr>
                <w:strike/>
              </w:rPr>
              <w:t>The maximum number of donations from a given donor is limited according to NMDP policy.</w:t>
            </w:r>
          </w:p>
        </w:tc>
        <w:tc>
          <w:tcPr>
            <w:tcW w:w="2925" w:type="dxa"/>
          </w:tcPr>
          <w:p w:rsidR="006C3317" w:rsidRPr="009F03EA" w:rsidRDefault="006C3317" w:rsidP="006C3317">
            <w:r w:rsidRPr="009F03EA">
              <w:t>Information on subsequent donations is spelled out in this standard and exceptions statement added (9.7225)</w:t>
            </w:r>
          </w:p>
        </w:tc>
      </w:tr>
      <w:tr w:rsidR="006C3317" w:rsidRPr="000F3A8D" w:rsidTr="00C54831">
        <w:trPr>
          <w:trHeight w:val="720"/>
        </w:trPr>
        <w:tc>
          <w:tcPr>
            <w:tcW w:w="1975" w:type="dxa"/>
          </w:tcPr>
          <w:p w:rsidR="006C3317" w:rsidRPr="009F03EA" w:rsidRDefault="00A166C8" w:rsidP="006C3317">
            <w:r>
              <w:t>Renumbering standards</w:t>
            </w:r>
          </w:p>
        </w:tc>
        <w:tc>
          <w:tcPr>
            <w:tcW w:w="4410" w:type="dxa"/>
          </w:tcPr>
          <w:p w:rsidR="006C3317" w:rsidRDefault="006C3317" w:rsidP="006C3317">
            <w:r>
              <w:t>9.7220</w:t>
            </w:r>
          </w:p>
          <w:p w:rsidR="006C3317" w:rsidRDefault="006C3317" w:rsidP="006C3317">
            <w:r>
              <w:t>9.7221</w:t>
            </w:r>
          </w:p>
          <w:p w:rsidR="006C3317" w:rsidRDefault="006C3317" w:rsidP="006C3317">
            <w:r>
              <w:t>9.7222</w:t>
            </w:r>
          </w:p>
          <w:p w:rsidR="006C3317" w:rsidRDefault="006C3317" w:rsidP="006C3317">
            <w:r>
              <w:t>9.7230</w:t>
            </w:r>
          </w:p>
          <w:p w:rsidR="006C3317" w:rsidRDefault="006C3317" w:rsidP="006C3317">
            <w:r>
              <w:t>9.7231</w:t>
            </w:r>
          </w:p>
          <w:p w:rsidR="006C3317" w:rsidRDefault="006C3317" w:rsidP="006C3317">
            <w:r>
              <w:t>9.7232</w:t>
            </w:r>
          </w:p>
          <w:p w:rsidR="006C3317" w:rsidRDefault="006C3317" w:rsidP="006C3317">
            <w:r>
              <w:t>9.7233</w:t>
            </w:r>
          </w:p>
          <w:p w:rsidR="006C3317" w:rsidRPr="009F03EA" w:rsidRDefault="006C3317" w:rsidP="006C3317">
            <w:r>
              <w:t>9.7234</w:t>
            </w:r>
          </w:p>
        </w:tc>
        <w:tc>
          <w:tcPr>
            <w:tcW w:w="4367" w:type="dxa"/>
          </w:tcPr>
          <w:p w:rsidR="006C3317" w:rsidRDefault="006C3317" w:rsidP="006C3317">
            <w:r>
              <w:t>9.7210</w:t>
            </w:r>
          </w:p>
          <w:p w:rsidR="006C3317" w:rsidRDefault="006C3317" w:rsidP="006C3317">
            <w:r>
              <w:t>9.7211</w:t>
            </w:r>
          </w:p>
          <w:p w:rsidR="006C3317" w:rsidRDefault="006C3317" w:rsidP="006C3317">
            <w:r>
              <w:t>9.7212</w:t>
            </w:r>
          </w:p>
          <w:p w:rsidR="006C3317" w:rsidRDefault="006C3317" w:rsidP="006C3317">
            <w:r>
              <w:t>9.7220</w:t>
            </w:r>
          </w:p>
          <w:p w:rsidR="006C3317" w:rsidRDefault="006C3317" w:rsidP="006C3317">
            <w:r>
              <w:t>9.7221</w:t>
            </w:r>
          </w:p>
          <w:p w:rsidR="006C3317" w:rsidRDefault="006C3317" w:rsidP="006C3317">
            <w:r>
              <w:t>9.7222</w:t>
            </w:r>
          </w:p>
          <w:p w:rsidR="006C3317" w:rsidRDefault="006C3317" w:rsidP="006C3317">
            <w:r>
              <w:t>9.7223</w:t>
            </w:r>
          </w:p>
          <w:p w:rsidR="006C3317" w:rsidRPr="009F03EA" w:rsidRDefault="006C3317" w:rsidP="006C3317">
            <w:r>
              <w:t>9.7224</w:t>
            </w:r>
          </w:p>
        </w:tc>
        <w:tc>
          <w:tcPr>
            <w:tcW w:w="2925" w:type="dxa"/>
          </w:tcPr>
          <w:p w:rsidR="006C3317" w:rsidRPr="009F03EA" w:rsidRDefault="006C3317" w:rsidP="006C3317">
            <w:r>
              <w:t>9.721 deleted</w:t>
            </w:r>
            <w:r w:rsidR="00A166C8">
              <w:t>; standards renumbered accordingly.</w:t>
            </w:r>
          </w:p>
        </w:tc>
      </w:tr>
      <w:tr w:rsidR="00513BAF" w:rsidRPr="000F3A8D" w:rsidTr="00C54831">
        <w:trPr>
          <w:trHeight w:val="720"/>
        </w:trPr>
        <w:tc>
          <w:tcPr>
            <w:tcW w:w="1975" w:type="dxa"/>
          </w:tcPr>
          <w:p w:rsidR="00513BAF" w:rsidRPr="009F03EA" w:rsidRDefault="00513BAF" w:rsidP="00513BAF">
            <w:r w:rsidRPr="009F03EA">
              <w:t>New</w:t>
            </w:r>
          </w:p>
          <w:p w:rsidR="00513BAF" w:rsidRPr="009F03EA" w:rsidRDefault="00513BAF" w:rsidP="00513BAF">
            <w:r w:rsidRPr="009F03EA">
              <w:t>9.7225</w:t>
            </w:r>
          </w:p>
        </w:tc>
        <w:tc>
          <w:tcPr>
            <w:tcW w:w="4410" w:type="dxa"/>
          </w:tcPr>
          <w:p w:rsidR="00513BAF" w:rsidRPr="009F03EA" w:rsidRDefault="00513BAF" w:rsidP="00513BAF"/>
        </w:tc>
        <w:tc>
          <w:tcPr>
            <w:tcW w:w="4367" w:type="dxa"/>
          </w:tcPr>
          <w:p w:rsidR="00513BAF" w:rsidRPr="009F03EA" w:rsidRDefault="00513BAF" w:rsidP="00513BAF">
            <w:r w:rsidRPr="006C3317">
              <w:rPr>
                <w:color w:val="FF0000"/>
              </w:rPr>
              <w:t xml:space="preserve">9.7225 </w:t>
            </w:r>
            <w:r w:rsidRPr="006C3317">
              <w:rPr>
                <w:color w:val="FF0000"/>
              </w:rPr>
              <w:tab/>
              <w:t>NMDP Medical Director may authorize exceptions to these standards</w:t>
            </w:r>
          </w:p>
        </w:tc>
        <w:tc>
          <w:tcPr>
            <w:tcW w:w="2925" w:type="dxa"/>
          </w:tcPr>
          <w:p w:rsidR="00513BAF" w:rsidRDefault="00513BAF" w:rsidP="00513BAF">
            <w:r>
              <w:t>See 9.7210</w:t>
            </w:r>
          </w:p>
          <w:p w:rsidR="00513BAF" w:rsidRPr="009F03EA" w:rsidRDefault="00513BAF" w:rsidP="00513BAF">
            <w:r>
              <w:t xml:space="preserve">NMDP allows for Medical Director to authorize subsequent donation. </w:t>
            </w:r>
          </w:p>
        </w:tc>
      </w:tr>
      <w:tr w:rsidR="00513BAF" w:rsidRPr="000F3A8D" w:rsidTr="00C54831">
        <w:trPr>
          <w:trHeight w:val="720"/>
        </w:trPr>
        <w:tc>
          <w:tcPr>
            <w:tcW w:w="1975" w:type="dxa"/>
          </w:tcPr>
          <w:p w:rsidR="00513BAF" w:rsidRPr="009F03EA" w:rsidRDefault="00513BAF" w:rsidP="00513BAF">
            <w:r w:rsidRPr="009F03EA">
              <w:t>9.7230</w:t>
            </w:r>
          </w:p>
          <w:p w:rsidR="00513BAF" w:rsidRPr="009F03EA" w:rsidRDefault="00513BAF" w:rsidP="00513BAF">
            <w:r w:rsidRPr="009F03EA">
              <w:t>In 23</w:t>
            </w:r>
            <w:r w:rsidRPr="009F03EA">
              <w:rPr>
                <w:vertAlign w:val="superscript"/>
              </w:rPr>
              <w:t>rd</w:t>
            </w:r>
            <w:r w:rsidRPr="009F03EA">
              <w:t xml:space="preserve"> Edition this becomes 9.7220</w:t>
            </w:r>
          </w:p>
        </w:tc>
        <w:tc>
          <w:tcPr>
            <w:tcW w:w="4410" w:type="dxa"/>
          </w:tcPr>
          <w:p w:rsidR="00513BAF" w:rsidRPr="009F03EA" w:rsidRDefault="00513BAF" w:rsidP="00513BAF">
            <w:r w:rsidRPr="009F03EA">
              <w:t xml:space="preserve">Donor should not be asked to donate HPC for a second recipient unless no other equally compatible donor is available and the following conditions are met: </w:t>
            </w:r>
          </w:p>
          <w:p w:rsidR="00513BAF" w:rsidRPr="009F03EA" w:rsidRDefault="00513BAF" w:rsidP="00513BAF"/>
        </w:tc>
        <w:tc>
          <w:tcPr>
            <w:tcW w:w="4367" w:type="dxa"/>
          </w:tcPr>
          <w:p w:rsidR="00513BAF" w:rsidRPr="009F03EA" w:rsidRDefault="00513BAF" w:rsidP="00513BAF">
            <w:r w:rsidRPr="009F03EA">
              <w:t xml:space="preserve">A donor </w:t>
            </w:r>
            <w:r w:rsidRPr="009F03EA">
              <w:rPr>
                <w:strike/>
              </w:rPr>
              <w:t>should</w:t>
            </w:r>
            <w:r w:rsidRPr="009F03EA">
              <w:t xml:space="preserve"> </w:t>
            </w:r>
            <w:r w:rsidRPr="009F03EA">
              <w:rPr>
                <w:color w:val="FF0000"/>
              </w:rPr>
              <w:t>may</w:t>
            </w:r>
            <w:r w:rsidRPr="009F03EA">
              <w:t xml:space="preserve"> </w:t>
            </w:r>
            <w:r w:rsidRPr="009F03EA">
              <w:rPr>
                <w:strike/>
              </w:rPr>
              <w:t xml:space="preserve">not </w:t>
            </w:r>
            <w:r w:rsidRPr="009F03EA">
              <w:t xml:space="preserve">be asked to donate HPC for a second recipient </w:t>
            </w:r>
            <w:r w:rsidRPr="009F03EA">
              <w:rPr>
                <w:color w:val="FF0000"/>
              </w:rPr>
              <w:t xml:space="preserve">only if </w:t>
            </w:r>
            <w:r w:rsidRPr="009F03EA">
              <w:rPr>
                <w:strike/>
              </w:rPr>
              <w:t>unless</w:t>
            </w:r>
            <w:r w:rsidRPr="009F03EA">
              <w:t xml:space="preserve"> no other equally compatible donor is available and the following conditions are met: </w:t>
            </w:r>
          </w:p>
          <w:p w:rsidR="00513BAF" w:rsidRPr="009F03EA" w:rsidRDefault="00513BAF" w:rsidP="00513BAF"/>
        </w:tc>
        <w:tc>
          <w:tcPr>
            <w:tcW w:w="2925" w:type="dxa"/>
          </w:tcPr>
          <w:p w:rsidR="00513BAF" w:rsidRPr="009F03EA" w:rsidRDefault="00513BAF" w:rsidP="00513BAF">
            <w:r w:rsidRPr="009F03EA">
              <w:t>Revised to be consistent with wording of 9.7210</w:t>
            </w:r>
          </w:p>
        </w:tc>
      </w:tr>
      <w:tr w:rsidR="00513BAF" w:rsidRPr="000F3A8D" w:rsidTr="00C54831">
        <w:trPr>
          <w:trHeight w:val="720"/>
        </w:trPr>
        <w:tc>
          <w:tcPr>
            <w:tcW w:w="1975" w:type="dxa"/>
          </w:tcPr>
          <w:p w:rsidR="00513BAF" w:rsidRDefault="00513BAF" w:rsidP="00513BAF">
            <w:r>
              <w:t>9.8000</w:t>
            </w:r>
          </w:p>
          <w:p w:rsidR="00513BAF" w:rsidRDefault="00513BAF" w:rsidP="00513BAF"/>
          <w:p w:rsidR="00513BAF" w:rsidRDefault="00513BAF" w:rsidP="00513BAF"/>
          <w:p w:rsidR="00513BAF" w:rsidRPr="009F03EA" w:rsidRDefault="00513BAF" w:rsidP="00513BAF"/>
        </w:tc>
        <w:tc>
          <w:tcPr>
            <w:tcW w:w="4410" w:type="dxa"/>
          </w:tcPr>
          <w:p w:rsidR="00513BAF" w:rsidRPr="006C3317" w:rsidRDefault="00513BAF" w:rsidP="00513BAF">
            <w:r w:rsidRPr="006C3317">
              <w:t>Cord Blood Donation</w:t>
            </w:r>
          </w:p>
          <w:p w:rsidR="00513BAF" w:rsidRPr="006C3317" w:rsidRDefault="00513BAF" w:rsidP="00513BAF">
            <w:r w:rsidRPr="006C3317">
              <w:t>9.8100</w:t>
            </w:r>
            <w:r w:rsidRPr="006C3317">
              <w:tab/>
              <w:t xml:space="preserve">Consent shall be obtained from the biologic mother for testing and storage of the </w:t>
            </w:r>
            <w:proofErr w:type="gramStart"/>
            <w:r w:rsidRPr="006C3317">
              <w:t>HPC(</w:t>
            </w:r>
            <w:proofErr w:type="gramEnd"/>
            <w:r w:rsidRPr="006C3317">
              <w:t xml:space="preserve">CB) to a cord blood bank for use in unrelated cellular therapies per cord blood bank specific policies.  </w:t>
            </w:r>
          </w:p>
          <w:p w:rsidR="00513BAF" w:rsidRPr="006C3317" w:rsidRDefault="00513BAF" w:rsidP="00513BAF">
            <w:r w:rsidRPr="006C3317">
              <w:t xml:space="preserve">9.8200 </w:t>
            </w:r>
            <w:r w:rsidRPr="006C3317">
              <w:tab/>
              <w:t>Bank shall document from the biologic mother, a family medical history to identify genetic disorders and a personal medical history to identify infections or risk behaviors for infections that are transmissible by transplantation.</w:t>
            </w:r>
          </w:p>
          <w:p w:rsidR="00513BAF" w:rsidRPr="006C3317" w:rsidRDefault="00513BAF" w:rsidP="00513BAF">
            <w:r w:rsidRPr="006C3317">
              <w:t>9.8210</w:t>
            </w:r>
            <w:r w:rsidRPr="006C3317">
              <w:tab/>
              <w:t>Medical history shall reflect the biologic mother’s health status at the time of delivery.</w:t>
            </w:r>
          </w:p>
          <w:p w:rsidR="00513BAF" w:rsidRPr="006C3317" w:rsidRDefault="00513BAF" w:rsidP="00513BAF">
            <w:r w:rsidRPr="006C3317">
              <w:t>9.8220</w:t>
            </w:r>
            <w:r w:rsidRPr="006C3317">
              <w:tab/>
              <w:t>Bank shall define criteria used to assess the infant donor for infection or other abnormalities that may potentially affect the safety of the recipient or the therapeutic value of the cellular therapy product.</w:t>
            </w:r>
          </w:p>
          <w:p w:rsidR="00513BAF" w:rsidRPr="006C3317" w:rsidRDefault="00513BAF" w:rsidP="00513BAF">
            <w:r w:rsidRPr="006C3317">
              <w:t>9.8300</w:t>
            </w:r>
            <w:r w:rsidRPr="006C3317">
              <w:tab/>
              <w:t>Bank shall test a blood sample from the biologic mother of cord blood donor for infectious diseases as defined by NMDP.</w:t>
            </w:r>
          </w:p>
          <w:p w:rsidR="00513BAF" w:rsidRPr="006C3317" w:rsidRDefault="00513BAF" w:rsidP="00513BAF">
            <w:r w:rsidRPr="006C3317">
              <w:t>9.8310</w:t>
            </w:r>
            <w:r w:rsidRPr="006C3317">
              <w:tab/>
              <w:t>Blood sample from biologic mother of cord blood donor used for infectious disease testing shall be obtained within 7 days prior to or within 7 days after collection (Standard 1.4000 applies).</w:t>
            </w:r>
          </w:p>
          <w:p w:rsidR="00513BAF" w:rsidRPr="006C3317" w:rsidRDefault="00513BAF" w:rsidP="00513BAF">
            <w:r w:rsidRPr="006C3317">
              <w:t>9.8320</w:t>
            </w:r>
            <w:r w:rsidRPr="006C3317">
              <w:tab/>
              <w:t>Bank shall inform, counsel and document counseling of biologic mother regarding any clinically significant abnormal findings.</w:t>
            </w:r>
          </w:p>
          <w:p w:rsidR="00513BAF" w:rsidRPr="009F03EA" w:rsidRDefault="00513BAF" w:rsidP="00513BAF">
            <w:r w:rsidRPr="006C3317">
              <w:t>9.8400</w:t>
            </w:r>
            <w:r w:rsidRPr="006C3317">
              <w:tab/>
              <w:t xml:space="preserve">Medical director or designee shall evaluate medical history and testing results, and document the review prior to listing the </w:t>
            </w:r>
            <w:proofErr w:type="gramStart"/>
            <w:r w:rsidRPr="006C3317">
              <w:t>HPC(</w:t>
            </w:r>
            <w:proofErr w:type="gramEnd"/>
            <w:r w:rsidRPr="006C3317">
              <w:t>CB) unit with the NMDP.</w:t>
            </w:r>
          </w:p>
        </w:tc>
        <w:tc>
          <w:tcPr>
            <w:tcW w:w="4367" w:type="dxa"/>
          </w:tcPr>
          <w:p w:rsidR="00513BAF" w:rsidRPr="006C3317" w:rsidRDefault="00513BAF" w:rsidP="00513BAF">
            <w:pPr>
              <w:rPr>
                <w:strike/>
              </w:rPr>
            </w:pPr>
            <w:r w:rsidRPr="006C3317">
              <w:rPr>
                <w:strike/>
              </w:rPr>
              <w:t>Cord Blood Donation</w:t>
            </w:r>
          </w:p>
          <w:p w:rsidR="00513BAF" w:rsidRPr="006C3317" w:rsidRDefault="00513BAF" w:rsidP="00513BAF">
            <w:pPr>
              <w:rPr>
                <w:strike/>
              </w:rPr>
            </w:pPr>
            <w:r w:rsidRPr="006C3317">
              <w:rPr>
                <w:strike/>
              </w:rPr>
              <w:t>9.8100</w:t>
            </w:r>
            <w:r w:rsidRPr="006C3317">
              <w:rPr>
                <w:strike/>
              </w:rPr>
              <w:tab/>
              <w:t xml:space="preserve">Consent shall be obtained from the biologic mother for testing and storage of the </w:t>
            </w:r>
            <w:proofErr w:type="gramStart"/>
            <w:r w:rsidRPr="006C3317">
              <w:rPr>
                <w:strike/>
              </w:rPr>
              <w:t>HPC(</w:t>
            </w:r>
            <w:proofErr w:type="gramEnd"/>
            <w:r w:rsidRPr="006C3317">
              <w:rPr>
                <w:strike/>
              </w:rPr>
              <w:t xml:space="preserve">CB) to a cord blood bank for use in unrelated cellular therapies per cord blood bank specific policies.  </w:t>
            </w:r>
          </w:p>
          <w:p w:rsidR="00513BAF" w:rsidRPr="006C3317" w:rsidRDefault="00513BAF" w:rsidP="00513BAF">
            <w:pPr>
              <w:rPr>
                <w:strike/>
              </w:rPr>
            </w:pPr>
            <w:r w:rsidRPr="006C3317">
              <w:rPr>
                <w:strike/>
              </w:rPr>
              <w:t xml:space="preserve">9.8200 </w:t>
            </w:r>
            <w:r w:rsidRPr="006C3317">
              <w:rPr>
                <w:strike/>
              </w:rPr>
              <w:tab/>
              <w:t>Bank shall document from the biologic mother, a family medical history to identify genetic disorders and a personal medical history to identify infections or risk behaviors for infections that are transmissible by transplantation.</w:t>
            </w:r>
          </w:p>
          <w:p w:rsidR="00513BAF" w:rsidRPr="006C3317" w:rsidRDefault="00513BAF" w:rsidP="00513BAF">
            <w:pPr>
              <w:rPr>
                <w:strike/>
              </w:rPr>
            </w:pPr>
            <w:r w:rsidRPr="006C3317">
              <w:rPr>
                <w:strike/>
              </w:rPr>
              <w:t>9.8210</w:t>
            </w:r>
            <w:r w:rsidRPr="006C3317">
              <w:rPr>
                <w:strike/>
              </w:rPr>
              <w:tab/>
              <w:t>Medical history shall reflect the biologic mother’s health status at the time of delivery.</w:t>
            </w:r>
          </w:p>
          <w:p w:rsidR="00513BAF" w:rsidRPr="006C3317" w:rsidRDefault="00513BAF" w:rsidP="00513BAF">
            <w:pPr>
              <w:rPr>
                <w:strike/>
              </w:rPr>
            </w:pPr>
            <w:r w:rsidRPr="006C3317">
              <w:rPr>
                <w:strike/>
              </w:rPr>
              <w:t>9.8220</w:t>
            </w:r>
            <w:r w:rsidRPr="006C3317">
              <w:rPr>
                <w:strike/>
              </w:rPr>
              <w:tab/>
              <w:t>Bank shall define criteria used to assess the infant donor for infection or other</w:t>
            </w:r>
            <w:r w:rsidRPr="006C3317">
              <w:t xml:space="preserve"> </w:t>
            </w:r>
            <w:r w:rsidRPr="006C3317">
              <w:rPr>
                <w:strike/>
              </w:rPr>
              <w:t>abnormalities that may potentially affect the safety of the recipient or the therapeutic value of the cellular therapy product.</w:t>
            </w:r>
          </w:p>
          <w:p w:rsidR="00513BAF" w:rsidRPr="006C3317" w:rsidRDefault="00513BAF" w:rsidP="00513BAF">
            <w:pPr>
              <w:rPr>
                <w:strike/>
              </w:rPr>
            </w:pPr>
            <w:r w:rsidRPr="006C3317">
              <w:rPr>
                <w:strike/>
              </w:rPr>
              <w:t>9.8300</w:t>
            </w:r>
            <w:r w:rsidRPr="006C3317">
              <w:rPr>
                <w:strike/>
              </w:rPr>
              <w:tab/>
              <w:t>Bank shall test a blood sample from the biologic mother of cord blood donor for infectious diseases as defined by NMDP.</w:t>
            </w:r>
          </w:p>
          <w:p w:rsidR="00513BAF" w:rsidRPr="006C3317" w:rsidRDefault="00513BAF" w:rsidP="00513BAF">
            <w:pPr>
              <w:rPr>
                <w:strike/>
              </w:rPr>
            </w:pPr>
            <w:r w:rsidRPr="006C3317">
              <w:rPr>
                <w:strike/>
              </w:rPr>
              <w:t>9.8310</w:t>
            </w:r>
            <w:r w:rsidRPr="006C3317">
              <w:rPr>
                <w:strike/>
              </w:rPr>
              <w:tab/>
              <w:t>Blood sample from biologic mother of cord blood donor used for infectious disease testing shall be obtained within 7 days prior to or within 7 days after collection (Standard 1.4000 applies).</w:t>
            </w:r>
          </w:p>
          <w:p w:rsidR="00513BAF" w:rsidRPr="006C3317" w:rsidRDefault="00513BAF" w:rsidP="00513BAF">
            <w:pPr>
              <w:rPr>
                <w:strike/>
              </w:rPr>
            </w:pPr>
            <w:r w:rsidRPr="006C3317">
              <w:rPr>
                <w:strike/>
              </w:rPr>
              <w:t>9.8320</w:t>
            </w:r>
            <w:r w:rsidRPr="006C3317">
              <w:rPr>
                <w:strike/>
              </w:rPr>
              <w:tab/>
              <w:t>Bank shall inform, counsel and document counseling of biologic mother regarding any clinically significant abnormal findings.</w:t>
            </w:r>
          </w:p>
          <w:p w:rsidR="00513BAF" w:rsidRPr="006C3317" w:rsidRDefault="00513BAF" w:rsidP="00513BAF">
            <w:pPr>
              <w:rPr>
                <w:strike/>
              </w:rPr>
            </w:pPr>
            <w:r w:rsidRPr="006C3317">
              <w:rPr>
                <w:strike/>
              </w:rPr>
              <w:t>9.8400</w:t>
            </w:r>
            <w:r w:rsidRPr="006C3317">
              <w:rPr>
                <w:strike/>
              </w:rPr>
              <w:tab/>
              <w:t xml:space="preserve">Medical director or designee shall evaluate medical history and testing results, and document the review prior to listing the </w:t>
            </w:r>
            <w:proofErr w:type="gramStart"/>
            <w:r w:rsidRPr="006C3317">
              <w:rPr>
                <w:strike/>
              </w:rPr>
              <w:t>HPC(</w:t>
            </w:r>
            <w:proofErr w:type="gramEnd"/>
            <w:r w:rsidRPr="006C3317">
              <w:rPr>
                <w:strike/>
              </w:rPr>
              <w:t>CB) unit with the NMDP.</w:t>
            </w:r>
          </w:p>
          <w:p w:rsidR="00513BAF" w:rsidRPr="009F03EA" w:rsidRDefault="00513BAF" w:rsidP="00513BAF"/>
        </w:tc>
        <w:tc>
          <w:tcPr>
            <w:tcW w:w="2925" w:type="dxa"/>
          </w:tcPr>
          <w:p w:rsidR="00513BAF" w:rsidRPr="009F03EA" w:rsidRDefault="00513BAF" w:rsidP="00513BAF">
            <w:r>
              <w:t>AABB and NetCord-FACT requirements cover most all of what was required by NMDP standards. Anything else will be added to Participation Criteria.</w:t>
            </w:r>
          </w:p>
        </w:tc>
      </w:tr>
      <w:tr w:rsidR="00513BAF" w:rsidRPr="000F3A8D" w:rsidTr="00C54831">
        <w:trPr>
          <w:trHeight w:val="720"/>
        </w:trPr>
        <w:tc>
          <w:tcPr>
            <w:tcW w:w="1975" w:type="dxa"/>
          </w:tcPr>
          <w:p w:rsidR="00513BAF" w:rsidRDefault="00513BAF" w:rsidP="00513BAF">
            <w:r>
              <w:t>10.3000</w:t>
            </w:r>
          </w:p>
          <w:p w:rsidR="00513BAF" w:rsidRDefault="00513BAF" w:rsidP="00513BAF"/>
          <w:p w:rsidR="00513BAF" w:rsidRDefault="00513BAF" w:rsidP="00513BAF"/>
          <w:p w:rsidR="00513BAF" w:rsidRPr="009F03EA" w:rsidRDefault="00513BAF" w:rsidP="00513BAF"/>
        </w:tc>
        <w:tc>
          <w:tcPr>
            <w:tcW w:w="4410" w:type="dxa"/>
          </w:tcPr>
          <w:p w:rsidR="00513BAF" w:rsidRPr="00513BAF" w:rsidRDefault="00513BAF" w:rsidP="00513BAF">
            <w:bookmarkStart w:id="30" w:name="_Toc371584552"/>
            <w:r w:rsidRPr="00513BAF">
              <w:t>10.3000</w:t>
            </w:r>
            <w:r w:rsidRPr="00513BAF">
              <w:tab/>
              <w:t>HPC(CB) Collection and Processing</w:t>
            </w:r>
            <w:bookmarkEnd w:id="30"/>
          </w:p>
          <w:p w:rsidR="00513BAF" w:rsidRPr="00513BAF" w:rsidRDefault="00513BAF" w:rsidP="00513BAF">
            <w:r w:rsidRPr="00513BAF">
              <w:t>10.3100</w:t>
            </w:r>
            <w:r w:rsidRPr="00513BAF">
              <w:tab/>
              <w:t xml:space="preserve">Testing, collection and processing of the </w:t>
            </w:r>
            <w:proofErr w:type="gramStart"/>
            <w:r w:rsidRPr="00513BAF">
              <w:t>HPC(</w:t>
            </w:r>
            <w:proofErr w:type="gramEnd"/>
            <w:r w:rsidRPr="00513BAF">
              <w:t>CB) units shall be consistent with AABB Standards and/or NetCord-FACT Standards (See Resources).</w:t>
            </w:r>
          </w:p>
          <w:p w:rsidR="00513BAF" w:rsidRPr="009F03EA" w:rsidRDefault="00513BAF" w:rsidP="00513BAF">
            <w:r w:rsidRPr="00513BAF">
              <w:t>10.3200</w:t>
            </w:r>
            <w:r w:rsidRPr="00513BAF">
              <w:tab/>
            </w:r>
            <w:proofErr w:type="gramStart"/>
            <w:r w:rsidRPr="00513BAF">
              <w:t>HPC(</w:t>
            </w:r>
            <w:proofErr w:type="gramEnd"/>
            <w:r w:rsidRPr="00513BAF">
              <w:t>CB) units shall be stored with at least two integrally attached cryopreserved product samples available for additional testing.</w:t>
            </w:r>
          </w:p>
        </w:tc>
        <w:tc>
          <w:tcPr>
            <w:tcW w:w="4367" w:type="dxa"/>
          </w:tcPr>
          <w:p w:rsidR="00513BAF" w:rsidRPr="00513BAF" w:rsidRDefault="00513BAF" w:rsidP="00513BAF">
            <w:pPr>
              <w:rPr>
                <w:strike/>
              </w:rPr>
            </w:pPr>
            <w:r w:rsidRPr="00513BAF">
              <w:rPr>
                <w:strike/>
              </w:rPr>
              <w:t>10.3000</w:t>
            </w:r>
            <w:r w:rsidRPr="00513BAF">
              <w:rPr>
                <w:strike/>
              </w:rPr>
              <w:tab/>
              <w:t>HPC(CB) Collection and Processing</w:t>
            </w:r>
          </w:p>
          <w:p w:rsidR="00513BAF" w:rsidRPr="00513BAF" w:rsidRDefault="00513BAF" w:rsidP="00513BAF">
            <w:pPr>
              <w:rPr>
                <w:strike/>
              </w:rPr>
            </w:pPr>
            <w:r w:rsidRPr="00513BAF">
              <w:rPr>
                <w:strike/>
              </w:rPr>
              <w:t>10.3100</w:t>
            </w:r>
            <w:r w:rsidRPr="00513BAF">
              <w:rPr>
                <w:strike/>
              </w:rPr>
              <w:tab/>
              <w:t xml:space="preserve">Testing, collection and processing of the </w:t>
            </w:r>
            <w:proofErr w:type="gramStart"/>
            <w:r w:rsidRPr="00513BAF">
              <w:rPr>
                <w:strike/>
              </w:rPr>
              <w:t>HPC(</w:t>
            </w:r>
            <w:proofErr w:type="gramEnd"/>
            <w:r w:rsidRPr="00513BAF">
              <w:rPr>
                <w:strike/>
              </w:rPr>
              <w:t>CB) units shall be consistent with AABB Standards and/or NetCord-FACT Standards (See Resources).</w:t>
            </w:r>
          </w:p>
          <w:p w:rsidR="00513BAF" w:rsidRPr="009F03EA" w:rsidRDefault="00513BAF" w:rsidP="00513BAF">
            <w:r w:rsidRPr="00513BAF">
              <w:rPr>
                <w:strike/>
              </w:rPr>
              <w:t>10.3200</w:t>
            </w:r>
            <w:r w:rsidRPr="00513BAF">
              <w:rPr>
                <w:strike/>
              </w:rPr>
              <w:tab/>
            </w:r>
            <w:proofErr w:type="gramStart"/>
            <w:r w:rsidRPr="00513BAF">
              <w:rPr>
                <w:strike/>
              </w:rPr>
              <w:t>HPC(</w:t>
            </w:r>
            <w:proofErr w:type="gramEnd"/>
            <w:r w:rsidRPr="00513BAF">
              <w:rPr>
                <w:strike/>
              </w:rPr>
              <w:t>CB) units shall be stored with at least two integrally attached cryopreserved product samples available for additional testing.</w:t>
            </w:r>
          </w:p>
        </w:tc>
        <w:tc>
          <w:tcPr>
            <w:tcW w:w="2925" w:type="dxa"/>
          </w:tcPr>
          <w:p w:rsidR="00513BAF" w:rsidRPr="009F03EA" w:rsidRDefault="00513BAF" w:rsidP="00513BAF">
            <w:r>
              <w:t>AABB and NetCord-FACT requirements cover most all of what was required by NMDP standards. Anything else will be added to Participation Criteria.</w:t>
            </w:r>
          </w:p>
        </w:tc>
      </w:tr>
      <w:tr w:rsidR="00470AFC" w:rsidRPr="000F3A8D" w:rsidTr="00C54831">
        <w:trPr>
          <w:trHeight w:val="720"/>
        </w:trPr>
        <w:tc>
          <w:tcPr>
            <w:tcW w:w="1975" w:type="dxa"/>
          </w:tcPr>
          <w:p w:rsidR="00470AFC" w:rsidRDefault="00470AFC" w:rsidP="00513BAF">
            <w:r>
              <w:t>Renumbered</w:t>
            </w:r>
          </w:p>
          <w:p w:rsidR="00470AFC" w:rsidRDefault="00470AFC" w:rsidP="00470AFC">
            <w:r>
              <w:t>Standards</w:t>
            </w:r>
          </w:p>
        </w:tc>
        <w:tc>
          <w:tcPr>
            <w:tcW w:w="4410" w:type="dxa"/>
          </w:tcPr>
          <w:p w:rsidR="00470AFC" w:rsidRDefault="00470AFC" w:rsidP="00513BAF">
            <w:r>
              <w:t>10.4000</w:t>
            </w:r>
          </w:p>
          <w:p w:rsidR="00470AFC" w:rsidRDefault="00470AFC" w:rsidP="00513BAF">
            <w:r>
              <w:t>10.4100</w:t>
            </w:r>
          </w:p>
          <w:p w:rsidR="00470AFC" w:rsidRDefault="00470AFC" w:rsidP="00513BAF">
            <w:r>
              <w:t>10.4110</w:t>
            </w:r>
          </w:p>
          <w:p w:rsidR="00470AFC" w:rsidRDefault="00470AFC" w:rsidP="00513BAF">
            <w:r>
              <w:t>10.4200</w:t>
            </w:r>
          </w:p>
          <w:p w:rsidR="00470AFC" w:rsidRDefault="00470AFC" w:rsidP="00513BAF">
            <w:r>
              <w:t>10.4210</w:t>
            </w:r>
          </w:p>
          <w:p w:rsidR="00470AFC" w:rsidRDefault="00470AFC" w:rsidP="00513BAF">
            <w:r>
              <w:t>10.4220</w:t>
            </w:r>
          </w:p>
          <w:p w:rsidR="00470AFC" w:rsidRDefault="00A62C2D" w:rsidP="00513BAF">
            <w:r>
              <w:t>10.4230</w:t>
            </w:r>
          </w:p>
          <w:p w:rsidR="00A62C2D" w:rsidRDefault="00A62C2D" w:rsidP="00513BAF">
            <w:r>
              <w:t>10.4240</w:t>
            </w:r>
          </w:p>
          <w:p w:rsidR="00A62C2D" w:rsidRDefault="00A62C2D" w:rsidP="00513BAF">
            <w:r>
              <w:t>10.5100</w:t>
            </w:r>
          </w:p>
          <w:p w:rsidR="00A62C2D" w:rsidRDefault="00A62C2D" w:rsidP="00513BAF">
            <w:r>
              <w:t>10.5110</w:t>
            </w:r>
          </w:p>
          <w:p w:rsidR="00054480" w:rsidRDefault="00054480" w:rsidP="00513BAF">
            <w:r>
              <w:t>10.5200</w:t>
            </w:r>
          </w:p>
          <w:p w:rsidR="00C645B6" w:rsidRDefault="00C645B6" w:rsidP="00513BAF">
            <w:r>
              <w:t>10.5300</w:t>
            </w:r>
          </w:p>
          <w:p w:rsidR="00C645B6" w:rsidRDefault="00C645B6" w:rsidP="00513BAF">
            <w:r>
              <w:t>10.5400</w:t>
            </w:r>
          </w:p>
          <w:p w:rsidR="00C645B6" w:rsidRDefault="00C645B6" w:rsidP="00513BAF">
            <w:r>
              <w:t>10.6000</w:t>
            </w:r>
          </w:p>
          <w:p w:rsidR="00C645B6" w:rsidRDefault="00C645B6" w:rsidP="00513BAF">
            <w:r>
              <w:t>10.6100</w:t>
            </w:r>
          </w:p>
          <w:p w:rsidR="00C645B6" w:rsidRPr="00513BAF" w:rsidRDefault="00C645B6" w:rsidP="00C645B6">
            <w:r>
              <w:t>10.6200</w:t>
            </w:r>
          </w:p>
        </w:tc>
        <w:tc>
          <w:tcPr>
            <w:tcW w:w="4367" w:type="dxa"/>
          </w:tcPr>
          <w:p w:rsidR="00470AFC" w:rsidRDefault="00470AFC" w:rsidP="00513BAF">
            <w:r w:rsidRPr="00470AFC">
              <w:t>10.3000</w:t>
            </w:r>
          </w:p>
          <w:p w:rsidR="00470AFC" w:rsidRDefault="00470AFC" w:rsidP="00513BAF">
            <w:r>
              <w:t>10.3100</w:t>
            </w:r>
          </w:p>
          <w:p w:rsidR="00470AFC" w:rsidRDefault="00470AFC" w:rsidP="00513BAF">
            <w:r>
              <w:t>10.3110</w:t>
            </w:r>
          </w:p>
          <w:p w:rsidR="00470AFC" w:rsidRDefault="00470AFC" w:rsidP="00513BAF">
            <w:r>
              <w:t>10.3200</w:t>
            </w:r>
          </w:p>
          <w:p w:rsidR="00470AFC" w:rsidRDefault="00470AFC" w:rsidP="00513BAF">
            <w:r>
              <w:t>10.3210</w:t>
            </w:r>
          </w:p>
          <w:p w:rsidR="00470AFC" w:rsidRDefault="00470AFC" w:rsidP="00513BAF">
            <w:r>
              <w:t>10.3220</w:t>
            </w:r>
          </w:p>
          <w:p w:rsidR="00A62C2D" w:rsidRDefault="00A62C2D" w:rsidP="00513BAF">
            <w:r>
              <w:t>10.3230</w:t>
            </w:r>
          </w:p>
          <w:p w:rsidR="00A62C2D" w:rsidRDefault="00A62C2D" w:rsidP="00513BAF">
            <w:r>
              <w:t>10.3240</w:t>
            </w:r>
          </w:p>
          <w:p w:rsidR="00A62C2D" w:rsidRDefault="00A62C2D" w:rsidP="00513BAF">
            <w:r>
              <w:t>10.4100</w:t>
            </w:r>
          </w:p>
          <w:p w:rsidR="00A62C2D" w:rsidRDefault="00A62C2D" w:rsidP="00513BAF">
            <w:r>
              <w:t>10.4110</w:t>
            </w:r>
          </w:p>
          <w:p w:rsidR="00C645B6" w:rsidRDefault="00C645B6" w:rsidP="00513BAF">
            <w:r>
              <w:t>10.4200</w:t>
            </w:r>
          </w:p>
          <w:p w:rsidR="00C645B6" w:rsidRDefault="00C645B6" w:rsidP="00513BAF">
            <w:r>
              <w:t>10.4300</w:t>
            </w:r>
          </w:p>
          <w:p w:rsidR="00C645B6" w:rsidRDefault="00C645B6" w:rsidP="00513BAF">
            <w:r>
              <w:t>10.4400</w:t>
            </w:r>
          </w:p>
          <w:p w:rsidR="00C645B6" w:rsidRDefault="00C645B6" w:rsidP="00513BAF">
            <w:r>
              <w:t>10.5000</w:t>
            </w:r>
          </w:p>
          <w:p w:rsidR="00C645B6" w:rsidRDefault="00C645B6" w:rsidP="00C645B6">
            <w:r>
              <w:t>10.5100</w:t>
            </w:r>
          </w:p>
          <w:p w:rsidR="00C645B6" w:rsidRPr="00470AFC" w:rsidRDefault="00C645B6" w:rsidP="00C645B6">
            <w:r>
              <w:t>10.5200</w:t>
            </w:r>
          </w:p>
        </w:tc>
        <w:tc>
          <w:tcPr>
            <w:tcW w:w="2925" w:type="dxa"/>
          </w:tcPr>
          <w:p w:rsidR="00470AFC" w:rsidRDefault="00C645B6" w:rsidP="00513BAF">
            <w:r>
              <w:t>10.3000 deleted; standards renumbered accordingly.</w:t>
            </w:r>
          </w:p>
        </w:tc>
      </w:tr>
      <w:tr w:rsidR="00513BAF" w:rsidRPr="000F3A8D" w:rsidTr="00C54831">
        <w:trPr>
          <w:trHeight w:val="720"/>
        </w:trPr>
        <w:tc>
          <w:tcPr>
            <w:tcW w:w="1975" w:type="dxa"/>
          </w:tcPr>
          <w:p w:rsidR="00513BAF" w:rsidRDefault="00513BAF" w:rsidP="00513BAF">
            <w:bookmarkStart w:id="31" w:name="_Toc535916269"/>
            <w:bookmarkStart w:id="32" w:name="_Toc23737739"/>
            <w:bookmarkStart w:id="33" w:name="_Toc21847720"/>
            <w:bookmarkStart w:id="34" w:name="_Toc207004321"/>
            <w:bookmarkStart w:id="35" w:name="_Toc371584554"/>
            <w:r w:rsidRPr="00486633">
              <w:t>10.5000</w:t>
            </w:r>
            <w:bookmarkEnd w:id="31"/>
            <w:bookmarkEnd w:id="32"/>
            <w:bookmarkEnd w:id="33"/>
            <w:bookmarkEnd w:id="34"/>
            <w:bookmarkEnd w:id="35"/>
          </w:p>
          <w:p w:rsidR="00513BAF" w:rsidRDefault="00513BAF" w:rsidP="00513BAF"/>
          <w:p w:rsidR="00513BAF" w:rsidRDefault="00513BAF" w:rsidP="00513BAF"/>
          <w:p w:rsidR="00513BAF" w:rsidRPr="00486633" w:rsidRDefault="00513BAF" w:rsidP="00513BAF"/>
        </w:tc>
        <w:tc>
          <w:tcPr>
            <w:tcW w:w="4410" w:type="dxa"/>
          </w:tcPr>
          <w:p w:rsidR="00513BAF" w:rsidRDefault="00513BAF" w:rsidP="00513BAF">
            <w:r w:rsidRPr="00486633">
              <w:t xml:space="preserve">Labeling and Documentation [HPC(M); HPC(A); MNC(A); HPC(CB); Cryopreserved HPC(CB)] </w:t>
            </w:r>
          </w:p>
          <w:p w:rsidR="00513BAF" w:rsidRDefault="00513BAF" w:rsidP="00513BAF"/>
          <w:p w:rsidR="00513BAF" w:rsidRPr="00486633" w:rsidRDefault="00513BAF" w:rsidP="00513BAF"/>
        </w:tc>
        <w:tc>
          <w:tcPr>
            <w:tcW w:w="4367" w:type="dxa"/>
          </w:tcPr>
          <w:p w:rsidR="00513BAF" w:rsidRDefault="00513BAF" w:rsidP="00513BAF">
            <w:pPr>
              <w:rPr>
                <w:strike/>
                <w:color w:val="auto"/>
              </w:rPr>
            </w:pPr>
            <w:r w:rsidRPr="00486633">
              <w:rPr>
                <w:b/>
                <w:i/>
              </w:rPr>
              <w:tab/>
            </w:r>
            <w:r w:rsidRPr="00486633">
              <w:t xml:space="preserve">Labeling and Documentation [HPC(M); HPC(A); MNC(A); </w:t>
            </w:r>
            <w:r w:rsidRPr="00486633">
              <w:rPr>
                <w:strike/>
                <w:color w:val="auto"/>
              </w:rPr>
              <w:t>HPC(CB); Cryopreserved HPC(CB)]</w:t>
            </w:r>
          </w:p>
          <w:p w:rsidR="00513BAF" w:rsidRDefault="00513BAF" w:rsidP="00513BAF">
            <w:pPr>
              <w:rPr>
                <w:strike/>
                <w:color w:val="auto"/>
              </w:rPr>
            </w:pPr>
          </w:p>
          <w:p w:rsidR="00513BAF" w:rsidRDefault="00513BAF" w:rsidP="00513BAF"/>
        </w:tc>
        <w:tc>
          <w:tcPr>
            <w:tcW w:w="2925" w:type="dxa"/>
          </w:tcPr>
          <w:p w:rsidR="00513BAF" w:rsidRDefault="00513BAF" w:rsidP="00513BAF">
            <w:r>
              <w:t>AABB and NetCord-FACT requirements cover most all of what was required by NMDP standards. Anything else will be added to Participation Criteria.</w:t>
            </w:r>
          </w:p>
        </w:tc>
      </w:tr>
      <w:tr w:rsidR="00513BAF" w:rsidRPr="000F3A8D" w:rsidTr="00C54831">
        <w:trPr>
          <w:trHeight w:val="720"/>
        </w:trPr>
        <w:tc>
          <w:tcPr>
            <w:tcW w:w="1975" w:type="dxa"/>
          </w:tcPr>
          <w:p w:rsidR="00513BAF" w:rsidRDefault="00513BAF" w:rsidP="00513BAF">
            <w:r w:rsidRPr="00C01AD6">
              <w:t>10.7000</w:t>
            </w:r>
          </w:p>
          <w:p w:rsidR="00513BAF" w:rsidRDefault="00513BAF" w:rsidP="00513BAF"/>
          <w:p w:rsidR="00513BAF" w:rsidRDefault="00513BAF" w:rsidP="00513BAF"/>
          <w:p w:rsidR="00513BAF" w:rsidRDefault="00513BAF" w:rsidP="00513BAF"/>
          <w:p w:rsidR="00513BAF" w:rsidRPr="00C01AD6" w:rsidRDefault="00513BAF" w:rsidP="00513BAF"/>
        </w:tc>
        <w:tc>
          <w:tcPr>
            <w:tcW w:w="4410" w:type="dxa"/>
          </w:tcPr>
          <w:p w:rsidR="00513BAF" w:rsidRDefault="00513BAF" w:rsidP="00513BAF">
            <w:bookmarkStart w:id="36" w:name="_Toc371584555"/>
            <w:r w:rsidRPr="00C01AD6">
              <w:t>HPC(M); HPC(A); MNC(A); and HPC(CB)</w:t>
            </w:r>
            <w:bookmarkEnd w:id="36"/>
          </w:p>
          <w:p w:rsidR="00513BAF" w:rsidRPr="00C01AD6" w:rsidRDefault="00513BAF" w:rsidP="00513BAF"/>
        </w:tc>
        <w:tc>
          <w:tcPr>
            <w:tcW w:w="4367" w:type="dxa"/>
          </w:tcPr>
          <w:p w:rsidR="00513BAF" w:rsidRDefault="00513BAF" w:rsidP="00513BAF">
            <w:r w:rsidRPr="00C01AD6">
              <w:t xml:space="preserve">HPC(M); HPC(A); </w:t>
            </w:r>
            <w:r w:rsidRPr="00C01AD6">
              <w:rPr>
                <w:color w:val="FF0000"/>
              </w:rPr>
              <w:t>and</w:t>
            </w:r>
            <w:r>
              <w:t xml:space="preserve"> </w:t>
            </w:r>
            <w:r w:rsidRPr="00C01AD6">
              <w:t xml:space="preserve">MNC(A); </w:t>
            </w:r>
            <w:r w:rsidRPr="00C01AD6">
              <w:rPr>
                <w:strike/>
              </w:rPr>
              <w:t>and HPC(CB)</w:t>
            </w:r>
          </w:p>
          <w:p w:rsidR="00513BAF" w:rsidRDefault="00513BAF" w:rsidP="00513BAF"/>
          <w:p w:rsidR="00513BAF" w:rsidRPr="00C01AD6" w:rsidRDefault="00513BAF" w:rsidP="00513BAF"/>
        </w:tc>
        <w:tc>
          <w:tcPr>
            <w:tcW w:w="2925" w:type="dxa"/>
          </w:tcPr>
          <w:p w:rsidR="00513BAF" w:rsidRPr="00C01AD6" w:rsidRDefault="00513BAF" w:rsidP="00513BAF">
            <w:r>
              <w:t>AABB and NetCord-FACT requirements cover most all of what was required by NMDP standards. Anything else will be added to Participation Criteria.</w:t>
            </w:r>
          </w:p>
        </w:tc>
      </w:tr>
      <w:tr w:rsidR="00513BAF" w:rsidRPr="000F3A8D" w:rsidTr="00C54831">
        <w:trPr>
          <w:trHeight w:val="720"/>
        </w:trPr>
        <w:tc>
          <w:tcPr>
            <w:tcW w:w="1975" w:type="dxa"/>
          </w:tcPr>
          <w:p w:rsidR="00513BAF" w:rsidRDefault="00513BAF" w:rsidP="00513BAF">
            <w:r>
              <w:t>10.7200</w:t>
            </w:r>
          </w:p>
          <w:p w:rsidR="00513BAF" w:rsidRPr="00C01AD6" w:rsidRDefault="00513BAF" w:rsidP="00513BAF"/>
        </w:tc>
        <w:tc>
          <w:tcPr>
            <w:tcW w:w="4410" w:type="dxa"/>
          </w:tcPr>
          <w:p w:rsidR="00513BAF" w:rsidRDefault="00513BAF" w:rsidP="00513BAF">
            <w:proofErr w:type="gramStart"/>
            <w:r w:rsidRPr="00C01AD6">
              <w:t>HPC(</w:t>
            </w:r>
            <w:proofErr w:type="gramEnd"/>
            <w:r w:rsidRPr="00C01AD6">
              <w:t>CB) units shall be infused as soon as possible after thawing and preparing the product for administration per manufacturer’s instructions or validated local procedure(s).</w:t>
            </w:r>
          </w:p>
          <w:p w:rsidR="00513BAF" w:rsidRPr="00C01AD6" w:rsidRDefault="00513BAF" w:rsidP="00513BAF"/>
        </w:tc>
        <w:tc>
          <w:tcPr>
            <w:tcW w:w="4367" w:type="dxa"/>
          </w:tcPr>
          <w:p w:rsidR="00513BAF" w:rsidRDefault="00513BAF" w:rsidP="00513BAF">
            <w:proofErr w:type="gramStart"/>
            <w:r w:rsidRPr="00C01AD6">
              <w:rPr>
                <w:strike/>
              </w:rPr>
              <w:t>HPC(</w:t>
            </w:r>
            <w:proofErr w:type="gramEnd"/>
            <w:r w:rsidRPr="00C01AD6">
              <w:rPr>
                <w:strike/>
              </w:rPr>
              <w:t>CB) units shall be infused as soon as possible after thawing and preparing the product for administration per manufacturer’s instructions or validated local procedure(s).</w:t>
            </w:r>
          </w:p>
          <w:p w:rsidR="00513BAF" w:rsidRPr="00C01AD6" w:rsidRDefault="00513BAF" w:rsidP="00513BAF"/>
        </w:tc>
        <w:tc>
          <w:tcPr>
            <w:tcW w:w="2925" w:type="dxa"/>
          </w:tcPr>
          <w:p w:rsidR="00513BAF" w:rsidRDefault="00513BAF" w:rsidP="00513BAF">
            <w:r>
              <w:t>AABB and NetCord-FACT requirements cover most all of what was required by NMDP standards. Anything else will be added to Participation Criteria.</w:t>
            </w:r>
          </w:p>
        </w:tc>
      </w:tr>
      <w:tr w:rsidR="00C645B6" w:rsidRPr="000F3A8D" w:rsidTr="00C54831">
        <w:trPr>
          <w:trHeight w:val="720"/>
        </w:trPr>
        <w:tc>
          <w:tcPr>
            <w:tcW w:w="1975" w:type="dxa"/>
          </w:tcPr>
          <w:p w:rsidR="00C645B6" w:rsidRDefault="00C645B6" w:rsidP="00513BAF">
            <w:r>
              <w:t>12.1500</w:t>
            </w:r>
          </w:p>
        </w:tc>
        <w:tc>
          <w:tcPr>
            <w:tcW w:w="4410" w:type="dxa"/>
          </w:tcPr>
          <w:p w:rsidR="00C645B6" w:rsidRPr="00C645B6" w:rsidRDefault="00C645B6" w:rsidP="00C645B6">
            <w:r w:rsidRPr="00C645B6">
              <w:t xml:space="preserve">All records and communications relating to patients, recipients, donors/donor </w:t>
            </w:r>
            <w:r>
              <w:t xml:space="preserve">mothers </w:t>
            </w:r>
            <w:r w:rsidRPr="00C645B6">
              <w:t>or potential donors shall be kept strictly confidential.</w:t>
            </w:r>
          </w:p>
          <w:p w:rsidR="00C645B6" w:rsidRPr="00C01AD6" w:rsidRDefault="00C645B6" w:rsidP="00513BAF"/>
        </w:tc>
        <w:tc>
          <w:tcPr>
            <w:tcW w:w="4367" w:type="dxa"/>
          </w:tcPr>
          <w:p w:rsidR="00C645B6" w:rsidRPr="00C645B6" w:rsidRDefault="00C645B6" w:rsidP="00C645B6">
            <w:r w:rsidRPr="00C645B6">
              <w:t>All records and communications relating to patients, recipients, donors</w:t>
            </w:r>
            <w:r w:rsidRPr="00C645B6">
              <w:rPr>
                <w:strike/>
              </w:rPr>
              <w:t>/donor mothers</w:t>
            </w:r>
            <w:r>
              <w:t xml:space="preserve"> </w:t>
            </w:r>
            <w:r w:rsidRPr="00C645B6">
              <w:t>or potential donors shall be kept strictly confidential.</w:t>
            </w:r>
          </w:p>
          <w:p w:rsidR="00C645B6" w:rsidRPr="00C01AD6" w:rsidRDefault="00C645B6" w:rsidP="00513BAF">
            <w:pPr>
              <w:rPr>
                <w:strike/>
              </w:rPr>
            </w:pPr>
          </w:p>
        </w:tc>
        <w:tc>
          <w:tcPr>
            <w:tcW w:w="2925" w:type="dxa"/>
          </w:tcPr>
          <w:p w:rsidR="00C645B6" w:rsidRDefault="00C645B6" w:rsidP="00513BAF">
            <w:r>
              <w:t>AABB and NetCord-FACT requirements cover most all of what was required by NMDP standards. Anything else will be added to Participation Criteria</w:t>
            </w:r>
          </w:p>
        </w:tc>
      </w:tr>
      <w:tr w:rsidR="00FE01FC" w:rsidRPr="000F3A8D" w:rsidTr="00C54831">
        <w:trPr>
          <w:trHeight w:val="720"/>
        </w:trPr>
        <w:tc>
          <w:tcPr>
            <w:tcW w:w="1975" w:type="dxa"/>
          </w:tcPr>
          <w:p w:rsidR="00FE01FC" w:rsidRPr="00ED3693" w:rsidRDefault="00FE01FC" w:rsidP="00513BAF">
            <w:r>
              <w:t>12.1700</w:t>
            </w:r>
          </w:p>
        </w:tc>
        <w:tc>
          <w:tcPr>
            <w:tcW w:w="4410" w:type="dxa"/>
          </w:tcPr>
          <w:p w:rsidR="00FE01FC" w:rsidRPr="00FE01FC" w:rsidRDefault="00FE01FC" w:rsidP="00FE01FC">
            <w:r w:rsidRPr="00FE01FC">
              <w:t>Relevant to the processes performed at each site, records shall be maintained to ensure the identification and traceability/</w:t>
            </w:r>
            <w:proofErr w:type="spellStart"/>
            <w:r w:rsidRPr="00FE01FC">
              <w:t>trackability</w:t>
            </w:r>
            <w:proofErr w:type="spellEnd"/>
            <w:r w:rsidRPr="00FE01FC">
              <w:t xml:space="preserve"> of each donor/ donor mother and cellular therapy product and all related samples from their initial source, through each processing and testing step to their final disposition and from final disposition, through each processing and testing step to the initial source (12.3000 applies).</w:t>
            </w:r>
          </w:p>
          <w:p w:rsidR="00FE01FC" w:rsidRPr="00513BAF" w:rsidRDefault="00FE01FC" w:rsidP="00513BAF"/>
        </w:tc>
        <w:tc>
          <w:tcPr>
            <w:tcW w:w="4367" w:type="dxa"/>
          </w:tcPr>
          <w:p w:rsidR="00FE01FC" w:rsidRPr="00FE01FC" w:rsidRDefault="00FE01FC" w:rsidP="00FE01FC">
            <w:r w:rsidRPr="00FE01FC">
              <w:t>Relevant to the processes performed at each site, records shall be maintained to ensure the identification and traceability/</w:t>
            </w:r>
            <w:proofErr w:type="spellStart"/>
            <w:r w:rsidRPr="00FE01FC">
              <w:t>trackability</w:t>
            </w:r>
            <w:proofErr w:type="spellEnd"/>
            <w:r w:rsidRPr="00FE01FC">
              <w:t xml:space="preserve"> of each donor</w:t>
            </w:r>
            <w:r w:rsidRPr="00FE01FC">
              <w:rPr>
                <w:strike/>
              </w:rPr>
              <w:t>/ donor mother and</w:t>
            </w:r>
            <w:r w:rsidRPr="00FE01FC">
              <w:t xml:space="preserve"> cellular therapy product and all related samples from their initial source, through each processing and testing step to their final disposition and from final disposition, through each processing and testing step to the initial source (12.3000 applies).</w:t>
            </w:r>
          </w:p>
          <w:p w:rsidR="00FE01FC" w:rsidRPr="00513BAF" w:rsidRDefault="00FE01FC" w:rsidP="00513BAF">
            <w:pPr>
              <w:rPr>
                <w:strike/>
              </w:rPr>
            </w:pPr>
          </w:p>
        </w:tc>
        <w:tc>
          <w:tcPr>
            <w:tcW w:w="2925" w:type="dxa"/>
          </w:tcPr>
          <w:p w:rsidR="00FE01FC" w:rsidRDefault="00FE01FC" w:rsidP="00513BAF">
            <w:r>
              <w:t>Removed reference to cord blood donor.</w:t>
            </w:r>
          </w:p>
        </w:tc>
      </w:tr>
      <w:tr w:rsidR="00513BAF" w:rsidRPr="000F3A8D" w:rsidTr="00C54831">
        <w:trPr>
          <w:trHeight w:val="720"/>
        </w:trPr>
        <w:tc>
          <w:tcPr>
            <w:tcW w:w="1975" w:type="dxa"/>
          </w:tcPr>
          <w:p w:rsidR="00513BAF" w:rsidRDefault="00513BAF" w:rsidP="00513BAF">
            <w:bookmarkStart w:id="37" w:name="_Toc535916274"/>
            <w:bookmarkStart w:id="38" w:name="_Toc23737744"/>
            <w:bookmarkStart w:id="39" w:name="_Toc21847725"/>
            <w:bookmarkStart w:id="40" w:name="_Toc207004327"/>
            <w:bookmarkStart w:id="41" w:name="_Toc371584565"/>
            <w:r w:rsidRPr="00ED3693">
              <w:t>12.3</w:t>
            </w:r>
            <w:r>
              <w:t>2</w:t>
            </w:r>
            <w:r w:rsidRPr="00ED3693">
              <w:t>00</w:t>
            </w:r>
            <w:r>
              <w:t>-</w:t>
            </w:r>
            <w:r w:rsidRPr="00513BAF">
              <w:t>12.3260</w:t>
            </w:r>
            <w:r w:rsidRPr="00ED3693">
              <w:tab/>
            </w:r>
            <w:bookmarkEnd w:id="37"/>
            <w:bookmarkEnd w:id="38"/>
            <w:bookmarkEnd w:id="39"/>
            <w:bookmarkEnd w:id="40"/>
            <w:bookmarkEnd w:id="41"/>
          </w:p>
          <w:p w:rsidR="00513BAF" w:rsidRDefault="00513BAF" w:rsidP="00513BAF"/>
          <w:p w:rsidR="00513BAF" w:rsidRDefault="00513BAF" w:rsidP="00513BAF"/>
        </w:tc>
        <w:tc>
          <w:tcPr>
            <w:tcW w:w="4410" w:type="dxa"/>
          </w:tcPr>
          <w:p w:rsidR="00513BAF" w:rsidRPr="00513BAF" w:rsidRDefault="00513BAF" w:rsidP="00513BAF">
            <w:r w:rsidRPr="00513BAF">
              <w:t>12.3200</w:t>
            </w:r>
            <w:r>
              <w:t xml:space="preserve">    </w:t>
            </w:r>
            <w:r w:rsidRPr="00513BAF">
              <w:t xml:space="preserve">The following Cord Blood Bank records on units collected under NMDP Investigational New Drug application (IND) or listed with NMDP shall be retained indefinitely: </w:t>
            </w:r>
          </w:p>
          <w:p w:rsidR="00513BAF" w:rsidRPr="00513BAF" w:rsidRDefault="00513BAF" w:rsidP="00513BAF">
            <w:r w:rsidRPr="00513BAF">
              <w:t xml:space="preserve">12.3210  All maternal consent documents for the collection, screening, testing, and storage of cord blood for unrelated allogeneic use </w:t>
            </w:r>
          </w:p>
          <w:p w:rsidR="00513BAF" w:rsidRPr="00513BAF" w:rsidRDefault="00513BAF" w:rsidP="00513BAF">
            <w:r w:rsidRPr="00513BAF">
              <w:t>12.3220  Maternal health history and family medical history screening and eligibility determinations, including reasons for permanent or temporary deferral</w:t>
            </w:r>
          </w:p>
          <w:p w:rsidR="00513BAF" w:rsidRPr="00513BAF" w:rsidRDefault="00513BAF" w:rsidP="00513BAF">
            <w:r w:rsidRPr="00513BAF">
              <w:t>12.3230  Infectious disease testing and other laboratory results</w:t>
            </w:r>
          </w:p>
          <w:p w:rsidR="00513BAF" w:rsidRPr="00513BAF" w:rsidRDefault="00513BAF" w:rsidP="00513BAF">
            <w:r w:rsidRPr="00513BAF">
              <w:t>12.3240  Documentation of abnormal findings and notification/counseling of relevant parties</w:t>
            </w:r>
          </w:p>
          <w:p w:rsidR="00513BAF" w:rsidRPr="00513BAF" w:rsidRDefault="00513BAF" w:rsidP="00513BAF">
            <w:r w:rsidRPr="00513BAF">
              <w:t>12.3250  Records pertaining to collection and all manufacturing steps though final distribution of cord blood products</w:t>
            </w:r>
          </w:p>
          <w:p w:rsidR="00513BAF" w:rsidRPr="00513BAF" w:rsidRDefault="00513BAF" w:rsidP="00513BAF">
            <w:r w:rsidRPr="00513BAF">
              <w:tab/>
              <w:t>12</w:t>
            </w:r>
            <w:r>
              <w:t xml:space="preserve">.3251 </w:t>
            </w:r>
            <w:r w:rsidRPr="00513BAF">
              <w:t>Records pertaining to qualification, monitoring and use of reagents, supplies and materials shall be traceable to cord blood product.</w:t>
            </w:r>
          </w:p>
          <w:p w:rsidR="00513BAF" w:rsidRPr="00513BAF" w:rsidRDefault="00513BAF" w:rsidP="00513BAF">
            <w:r w:rsidRPr="00513BAF">
              <w:tab/>
              <w:t>12.3252 Records pertaining to qualification, monitoring, calibration, maintenance and use of equipment shall be traceable to the cord blood product.</w:t>
            </w:r>
          </w:p>
          <w:p w:rsidR="00513BAF" w:rsidRPr="00513BAF" w:rsidRDefault="00513BAF" w:rsidP="00513BAF">
            <w:r w:rsidRPr="00513BAF">
              <w:tab/>
            </w:r>
            <w:r>
              <w:t xml:space="preserve">12.3253 </w:t>
            </w:r>
            <w:r w:rsidRPr="00513BAF">
              <w:t xml:space="preserve">Records pertaining to the traceability and tracking of all aspects of the manufacture of the cord blood unit with the exception of facility cleaning and sanitation records which are retained minimally for 3 years. </w:t>
            </w:r>
          </w:p>
          <w:p w:rsidR="00513BAF" w:rsidRPr="00DA74B4" w:rsidRDefault="00513BAF" w:rsidP="00513BAF">
            <w:r>
              <w:t xml:space="preserve"> </w:t>
            </w:r>
            <w:r w:rsidRPr="00513BAF">
              <w:t>12.3260 Records of reported recipient adverse reactions and post-administration complications.</w:t>
            </w:r>
          </w:p>
        </w:tc>
        <w:tc>
          <w:tcPr>
            <w:tcW w:w="4367" w:type="dxa"/>
          </w:tcPr>
          <w:p w:rsidR="00513BAF" w:rsidRPr="00513BAF" w:rsidRDefault="00513BAF" w:rsidP="00513BAF">
            <w:pPr>
              <w:rPr>
                <w:strike/>
              </w:rPr>
            </w:pPr>
            <w:r w:rsidRPr="00513BAF">
              <w:rPr>
                <w:strike/>
              </w:rPr>
              <w:t xml:space="preserve">12.3200    The following Cord Blood Bank records on units collected under NMDP Investigational New Drug application (IND) or listed with NMDP shall be retained indefinitely: </w:t>
            </w:r>
          </w:p>
          <w:p w:rsidR="00513BAF" w:rsidRPr="00513BAF" w:rsidRDefault="00513BAF" w:rsidP="00513BAF">
            <w:pPr>
              <w:rPr>
                <w:strike/>
              </w:rPr>
            </w:pPr>
            <w:r w:rsidRPr="00513BAF">
              <w:rPr>
                <w:strike/>
              </w:rPr>
              <w:t xml:space="preserve">12.3210  All maternal consent documents for the collection, screening, testing, and storage of cord blood for unrelated allogeneic use </w:t>
            </w:r>
          </w:p>
          <w:p w:rsidR="00513BAF" w:rsidRPr="00513BAF" w:rsidRDefault="00513BAF" w:rsidP="00513BAF">
            <w:pPr>
              <w:rPr>
                <w:strike/>
              </w:rPr>
            </w:pPr>
            <w:r w:rsidRPr="00513BAF">
              <w:rPr>
                <w:strike/>
              </w:rPr>
              <w:t>12.3220  Maternal health history and family medical history screening and eligibility determinations, including reasons for permanent or temporary deferral</w:t>
            </w:r>
          </w:p>
          <w:p w:rsidR="00513BAF" w:rsidRPr="00513BAF" w:rsidRDefault="00513BAF" w:rsidP="00513BAF">
            <w:pPr>
              <w:rPr>
                <w:strike/>
              </w:rPr>
            </w:pPr>
            <w:r w:rsidRPr="00513BAF">
              <w:rPr>
                <w:strike/>
              </w:rPr>
              <w:t>12.3230  Infectious disease testing and other laboratory results</w:t>
            </w:r>
          </w:p>
          <w:p w:rsidR="00513BAF" w:rsidRPr="00513BAF" w:rsidRDefault="00513BAF" w:rsidP="00513BAF">
            <w:pPr>
              <w:rPr>
                <w:strike/>
              </w:rPr>
            </w:pPr>
            <w:r w:rsidRPr="00513BAF">
              <w:rPr>
                <w:strike/>
              </w:rPr>
              <w:t>12.3240  Documentation of abnormal findings and notification/counseling of relevant parties</w:t>
            </w:r>
          </w:p>
          <w:p w:rsidR="00513BAF" w:rsidRPr="00513BAF" w:rsidRDefault="00513BAF" w:rsidP="00513BAF">
            <w:pPr>
              <w:rPr>
                <w:strike/>
              </w:rPr>
            </w:pPr>
            <w:r w:rsidRPr="00513BAF">
              <w:rPr>
                <w:strike/>
              </w:rPr>
              <w:t>12.3250  Records pertaining to collection and all manufacturing steps though final distribution of cord blood products</w:t>
            </w:r>
          </w:p>
          <w:p w:rsidR="00513BAF" w:rsidRPr="00513BAF" w:rsidRDefault="00513BAF" w:rsidP="00513BAF">
            <w:pPr>
              <w:rPr>
                <w:strike/>
              </w:rPr>
            </w:pPr>
            <w:r w:rsidRPr="00513BAF">
              <w:rPr>
                <w:strike/>
              </w:rPr>
              <w:tab/>
              <w:t>12.3251 Records pertaining to qualification, monitoring and use of reagents, supplies and materials shall be traceable to cord blood product.</w:t>
            </w:r>
          </w:p>
          <w:p w:rsidR="00513BAF" w:rsidRPr="00513BAF" w:rsidRDefault="00513BAF" w:rsidP="00513BAF">
            <w:pPr>
              <w:rPr>
                <w:strike/>
              </w:rPr>
            </w:pPr>
            <w:r w:rsidRPr="00513BAF">
              <w:tab/>
            </w:r>
            <w:r w:rsidRPr="00513BAF">
              <w:rPr>
                <w:strike/>
              </w:rPr>
              <w:t>12.3252 Records pertaining to qualification, monitoring, calibration, maintenance and use of equipment shall be traceable to the cord blood product.</w:t>
            </w:r>
          </w:p>
          <w:p w:rsidR="00513BAF" w:rsidRPr="00513BAF" w:rsidRDefault="00513BAF" w:rsidP="00513BAF">
            <w:pPr>
              <w:rPr>
                <w:strike/>
              </w:rPr>
            </w:pPr>
            <w:r w:rsidRPr="00513BAF">
              <w:rPr>
                <w:strike/>
              </w:rPr>
              <w:tab/>
              <w:t xml:space="preserve">12.3253 Records pertaining to the traceability and tracking of all aspects of the manufacture of the cord blood unit with the exception of facility cleaning and sanitation records which are retained minimally for 3 years. </w:t>
            </w:r>
          </w:p>
          <w:p w:rsidR="00513BAF" w:rsidRPr="00DA74B4" w:rsidRDefault="00513BAF" w:rsidP="00513BAF">
            <w:r w:rsidRPr="00513BAF">
              <w:rPr>
                <w:strike/>
              </w:rPr>
              <w:t xml:space="preserve"> 12.3260 Records of reported recipient adverse reactions and post-administration complications.</w:t>
            </w:r>
          </w:p>
        </w:tc>
        <w:tc>
          <w:tcPr>
            <w:tcW w:w="2925" w:type="dxa"/>
          </w:tcPr>
          <w:p w:rsidR="00513BAF" w:rsidRPr="00C01AD6" w:rsidRDefault="00513BAF" w:rsidP="00513BAF">
            <w:r>
              <w:t>AABB and NetCord-FACT requirements cover most all of what was required by NMDP standards. Anything else will be added to Participation Criteria.</w:t>
            </w:r>
          </w:p>
        </w:tc>
      </w:tr>
      <w:tr w:rsidR="00513BAF" w:rsidRPr="000F3A8D" w:rsidTr="00C54831">
        <w:trPr>
          <w:trHeight w:val="720"/>
        </w:trPr>
        <w:tc>
          <w:tcPr>
            <w:tcW w:w="1975" w:type="dxa"/>
          </w:tcPr>
          <w:p w:rsidR="00513BAF" w:rsidRPr="009F03EA" w:rsidRDefault="00513BAF" w:rsidP="00513BAF">
            <w:r w:rsidRPr="009F03EA">
              <w:t>12.3400</w:t>
            </w:r>
          </w:p>
        </w:tc>
        <w:tc>
          <w:tcPr>
            <w:tcW w:w="4410" w:type="dxa"/>
          </w:tcPr>
          <w:p w:rsidR="00513BAF" w:rsidRPr="009F03EA" w:rsidRDefault="00513BAF" w:rsidP="00513BAF">
            <w:r w:rsidRPr="009F03EA">
              <w:t>12.3400</w:t>
            </w:r>
            <w:r w:rsidRPr="009F03EA">
              <w:tab/>
              <w:t>Transplant Center recipient records which must be retained indefinitely:</w:t>
            </w:r>
          </w:p>
        </w:tc>
        <w:tc>
          <w:tcPr>
            <w:tcW w:w="4367" w:type="dxa"/>
          </w:tcPr>
          <w:p w:rsidR="00513BAF" w:rsidRPr="009F03EA" w:rsidRDefault="00513BAF" w:rsidP="00513BAF">
            <w:r w:rsidRPr="009F03EA">
              <w:t>12.3400</w:t>
            </w:r>
            <w:r w:rsidRPr="009F03EA">
              <w:tab/>
              <w:t xml:space="preserve">Transplant Center recipient records which </w:t>
            </w:r>
            <w:r w:rsidRPr="009F03EA">
              <w:rPr>
                <w:strike/>
              </w:rPr>
              <w:t>must</w:t>
            </w:r>
            <w:r w:rsidRPr="009F03EA">
              <w:t xml:space="preserve"> </w:t>
            </w:r>
            <w:r w:rsidRPr="009F03EA">
              <w:rPr>
                <w:color w:val="FF0000"/>
              </w:rPr>
              <w:t>shall</w:t>
            </w:r>
            <w:r w:rsidRPr="009F03EA">
              <w:t xml:space="preserve"> be retained indefinitely:</w:t>
            </w:r>
          </w:p>
        </w:tc>
        <w:tc>
          <w:tcPr>
            <w:tcW w:w="2925" w:type="dxa"/>
          </w:tcPr>
          <w:p w:rsidR="00513BAF" w:rsidRPr="009F03EA" w:rsidRDefault="00513BAF" w:rsidP="00513BAF">
            <w:r w:rsidRPr="009F03EA">
              <w:t xml:space="preserve">More correct term for a standard. </w:t>
            </w:r>
          </w:p>
        </w:tc>
      </w:tr>
      <w:tr w:rsidR="00513BAF" w:rsidRPr="000F3A8D" w:rsidTr="00C54831">
        <w:trPr>
          <w:trHeight w:val="720"/>
        </w:trPr>
        <w:tc>
          <w:tcPr>
            <w:tcW w:w="1975" w:type="dxa"/>
          </w:tcPr>
          <w:p w:rsidR="00513BAF" w:rsidRPr="009F03EA" w:rsidRDefault="00513BAF" w:rsidP="00513BAF">
            <w:r>
              <w:t>12.5100</w:t>
            </w:r>
          </w:p>
        </w:tc>
        <w:tc>
          <w:tcPr>
            <w:tcW w:w="4410" w:type="dxa"/>
          </w:tcPr>
          <w:p w:rsidR="00513BAF" w:rsidRPr="00DA74B4" w:rsidRDefault="00513BAF" w:rsidP="00513BAF">
            <w:r w:rsidRPr="00DA74B4">
              <w:tab/>
              <w:t>Records</w:t>
            </w:r>
            <w:r>
              <w:t xml:space="preserve">, preferably originals, </w:t>
            </w:r>
            <w:r w:rsidRPr="00DA74B4">
              <w:t>of all transferred donors shall be forwarded to the receiving donor center</w:t>
            </w:r>
          </w:p>
          <w:p w:rsidR="00513BAF" w:rsidRPr="009F03EA" w:rsidRDefault="00513BAF" w:rsidP="00513BAF"/>
        </w:tc>
        <w:tc>
          <w:tcPr>
            <w:tcW w:w="4367" w:type="dxa"/>
          </w:tcPr>
          <w:p w:rsidR="00513BAF" w:rsidRPr="00DA74B4" w:rsidRDefault="00513BAF" w:rsidP="00513BAF">
            <w:r w:rsidRPr="00DA74B4">
              <w:t>Records</w:t>
            </w:r>
            <w:r w:rsidRPr="00DA74B4">
              <w:rPr>
                <w:strike/>
              </w:rPr>
              <w:t>, preferably originals</w:t>
            </w:r>
            <w:r>
              <w:t xml:space="preserve">, </w:t>
            </w:r>
            <w:r w:rsidRPr="00DA74B4">
              <w:t>of all transferred donors shall be forwarded to the receiving donor center</w:t>
            </w:r>
          </w:p>
          <w:p w:rsidR="00513BAF" w:rsidRPr="009F03EA" w:rsidRDefault="00513BAF" w:rsidP="00513BAF"/>
        </w:tc>
        <w:tc>
          <w:tcPr>
            <w:tcW w:w="2925" w:type="dxa"/>
          </w:tcPr>
          <w:p w:rsidR="00513BAF" w:rsidRPr="009F03EA" w:rsidRDefault="00513BAF" w:rsidP="00513BAF">
            <w:r>
              <w:t xml:space="preserve">Often originals are not forwarded. </w:t>
            </w:r>
          </w:p>
        </w:tc>
      </w:tr>
      <w:tr w:rsidR="00C645B6" w:rsidRPr="000F3A8D" w:rsidTr="00C54831">
        <w:trPr>
          <w:trHeight w:val="720"/>
        </w:trPr>
        <w:tc>
          <w:tcPr>
            <w:tcW w:w="1975" w:type="dxa"/>
          </w:tcPr>
          <w:p w:rsidR="00C645B6" w:rsidRDefault="00C645B6" w:rsidP="00C645B6">
            <w:r>
              <w:t>Cord Blood Bank</w:t>
            </w:r>
          </w:p>
        </w:tc>
        <w:tc>
          <w:tcPr>
            <w:tcW w:w="4410" w:type="dxa"/>
          </w:tcPr>
          <w:p w:rsidR="00C645B6" w:rsidRPr="00F566D2" w:rsidRDefault="00C645B6" w:rsidP="00C645B6">
            <w:pPr>
              <w:rPr>
                <w:sz w:val="24"/>
                <w:szCs w:val="24"/>
              </w:rPr>
            </w:pPr>
            <w:r w:rsidRPr="00F566D2">
              <w:rPr>
                <w:sz w:val="24"/>
                <w:szCs w:val="24"/>
              </w:rPr>
              <w:t>An NMDP network organization that meets participation criteria with experience, staff and facilities to collect, process and store HPC, Cord Blood [</w:t>
            </w:r>
            <w:proofErr w:type="gramStart"/>
            <w:r w:rsidRPr="00F566D2">
              <w:rPr>
                <w:sz w:val="24"/>
                <w:szCs w:val="24"/>
              </w:rPr>
              <w:t>HPC(</w:t>
            </w:r>
            <w:proofErr w:type="gramEnd"/>
            <w:r w:rsidRPr="00F566D2">
              <w:rPr>
                <w:sz w:val="24"/>
                <w:szCs w:val="24"/>
              </w:rPr>
              <w:t>CB)]for transplant</w:t>
            </w:r>
            <w:r>
              <w:rPr>
                <w:sz w:val="24"/>
                <w:szCs w:val="24"/>
              </w:rPr>
              <w:t>.</w:t>
            </w:r>
          </w:p>
        </w:tc>
        <w:tc>
          <w:tcPr>
            <w:tcW w:w="4367" w:type="dxa"/>
          </w:tcPr>
          <w:p w:rsidR="00C645B6" w:rsidRPr="00F566D2" w:rsidRDefault="00C645B6" w:rsidP="00C645B6">
            <w:pPr>
              <w:rPr>
                <w:sz w:val="24"/>
                <w:szCs w:val="24"/>
              </w:rPr>
            </w:pPr>
            <w:r w:rsidRPr="00F566D2">
              <w:rPr>
                <w:sz w:val="24"/>
                <w:szCs w:val="24"/>
              </w:rPr>
              <w:t xml:space="preserve">An NMDP network organization </w:t>
            </w:r>
            <w:r w:rsidRPr="00ED3693">
              <w:rPr>
                <w:color w:val="FF0000"/>
                <w:sz w:val="24"/>
                <w:szCs w:val="24"/>
              </w:rPr>
              <w:t>accredited by NetCord-FACT or AABB,</w:t>
            </w:r>
            <w:r>
              <w:rPr>
                <w:sz w:val="24"/>
                <w:szCs w:val="24"/>
              </w:rPr>
              <w:t xml:space="preserve"> </w:t>
            </w:r>
            <w:r w:rsidRPr="00F566D2">
              <w:rPr>
                <w:sz w:val="24"/>
                <w:szCs w:val="24"/>
              </w:rPr>
              <w:t>that meets participation criteria with experience, staff and facilities to collect, process and store HPC, Cord Blood [</w:t>
            </w:r>
            <w:proofErr w:type="gramStart"/>
            <w:r w:rsidRPr="00F566D2">
              <w:rPr>
                <w:sz w:val="24"/>
                <w:szCs w:val="24"/>
              </w:rPr>
              <w:t>HPC(</w:t>
            </w:r>
            <w:proofErr w:type="gramEnd"/>
            <w:r w:rsidRPr="00F566D2">
              <w:rPr>
                <w:sz w:val="24"/>
                <w:szCs w:val="24"/>
              </w:rPr>
              <w:t>CB)]for transplant</w:t>
            </w:r>
            <w:r>
              <w:rPr>
                <w:sz w:val="24"/>
                <w:szCs w:val="24"/>
              </w:rPr>
              <w:t>.</w:t>
            </w:r>
          </w:p>
        </w:tc>
        <w:tc>
          <w:tcPr>
            <w:tcW w:w="2925" w:type="dxa"/>
          </w:tcPr>
          <w:p w:rsidR="00C645B6" w:rsidRDefault="00C645B6" w:rsidP="00C645B6">
            <w:r>
              <w:t xml:space="preserve">Changed to align with requirements. </w:t>
            </w:r>
          </w:p>
        </w:tc>
      </w:tr>
      <w:tr w:rsidR="00C645B6" w:rsidRPr="000F3A8D" w:rsidTr="00C54831">
        <w:trPr>
          <w:trHeight w:val="720"/>
        </w:trPr>
        <w:tc>
          <w:tcPr>
            <w:tcW w:w="1975" w:type="dxa"/>
          </w:tcPr>
          <w:p w:rsidR="00C645B6" w:rsidRDefault="00C645B6" w:rsidP="00C645B6">
            <w:r>
              <w:t>Glossary</w:t>
            </w:r>
          </w:p>
          <w:p w:rsidR="00C645B6" w:rsidRDefault="00C645B6" w:rsidP="00C645B6">
            <w:r>
              <w:t>FDA</w:t>
            </w:r>
          </w:p>
        </w:tc>
        <w:tc>
          <w:tcPr>
            <w:tcW w:w="4410" w:type="dxa"/>
          </w:tcPr>
          <w:p w:rsidR="00C645B6" w:rsidRPr="00DA74B4" w:rsidRDefault="00C645B6" w:rsidP="00C645B6">
            <w:r w:rsidRPr="00F566D2">
              <w:rPr>
                <w:sz w:val="24"/>
                <w:szCs w:val="24"/>
              </w:rPr>
              <w:t>A United States government agency under the direction of the Department of Health and Human Services charged with protecting American consumers by enforcing the Federal Food, Drug and Cosmetic Act.</w:t>
            </w:r>
          </w:p>
        </w:tc>
        <w:tc>
          <w:tcPr>
            <w:tcW w:w="4367" w:type="dxa"/>
          </w:tcPr>
          <w:p w:rsidR="00C645B6" w:rsidRPr="00DA74B4" w:rsidRDefault="00C645B6" w:rsidP="00C645B6">
            <w:r w:rsidRPr="00F566D2">
              <w:rPr>
                <w:sz w:val="24"/>
                <w:szCs w:val="24"/>
              </w:rPr>
              <w:t>A United States government agency</w:t>
            </w:r>
            <w:r>
              <w:rPr>
                <w:sz w:val="24"/>
                <w:szCs w:val="24"/>
              </w:rPr>
              <w:t xml:space="preserve"> </w:t>
            </w:r>
            <w:r w:rsidRPr="00B36B64">
              <w:rPr>
                <w:strike/>
                <w:sz w:val="24"/>
                <w:szCs w:val="24"/>
              </w:rPr>
              <w:t>under the direction of</w:t>
            </w:r>
            <w:r w:rsidRPr="00F566D2">
              <w:rPr>
                <w:sz w:val="24"/>
                <w:szCs w:val="24"/>
              </w:rPr>
              <w:t xml:space="preserve"> </w:t>
            </w:r>
            <w:r w:rsidRPr="00B36B64">
              <w:rPr>
                <w:color w:val="FF0000"/>
                <w:sz w:val="24"/>
                <w:szCs w:val="24"/>
              </w:rPr>
              <w:t>within</w:t>
            </w:r>
            <w:r w:rsidRPr="00F566D2">
              <w:rPr>
                <w:sz w:val="24"/>
                <w:szCs w:val="24"/>
              </w:rPr>
              <w:t xml:space="preserve"> the Department of Health and Human Services charged with protecting </w:t>
            </w:r>
            <w:r>
              <w:rPr>
                <w:sz w:val="24"/>
                <w:szCs w:val="24"/>
              </w:rPr>
              <w:t xml:space="preserve">and </w:t>
            </w:r>
            <w:r w:rsidRPr="00B36B64">
              <w:rPr>
                <w:color w:val="FF0000"/>
                <w:sz w:val="24"/>
                <w:szCs w:val="24"/>
              </w:rPr>
              <w:t>promoting</w:t>
            </w:r>
            <w:r>
              <w:rPr>
                <w:sz w:val="24"/>
                <w:szCs w:val="24"/>
              </w:rPr>
              <w:t xml:space="preserve"> </w:t>
            </w:r>
            <w:r w:rsidRPr="00B36B64">
              <w:rPr>
                <w:color w:val="FF0000"/>
                <w:sz w:val="24"/>
                <w:szCs w:val="24"/>
              </w:rPr>
              <w:t xml:space="preserve">the health of </w:t>
            </w:r>
            <w:r w:rsidRPr="00F566D2">
              <w:rPr>
                <w:sz w:val="24"/>
                <w:szCs w:val="24"/>
              </w:rPr>
              <w:t>American consumers</w:t>
            </w:r>
            <w:r>
              <w:rPr>
                <w:sz w:val="24"/>
                <w:szCs w:val="24"/>
              </w:rPr>
              <w:t xml:space="preserve">. </w:t>
            </w:r>
            <w:proofErr w:type="gramStart"/>
            <w:r w:rsidRPr="00B36B64">
              <w:rPr>
                <w:strike/>
                <w:sz w:val="24"/>
                <w:szCs w:val="24"/>
              </w:rPr>
              <w:t>by</w:t>
            </w:r>
            <w:proofErr w:type="gramEnd"/>
            <w:r w:rsidRPr="00B36B64">
              <w:rPr>
                <w:strike/>
                <w:sz w:val="24"/>
                <w:szCs w:val="24"/>
              </w:rPr>
              <w:t xml:space="preserve"> enforcing the Food Drug and Cosmetic Act.</w:t>
            </w:r>
          </w:p>
        </w:tc>
        <w:tc>
          <w:tcPr>
            <w:tcW w:w="2925" w:type="dxa"/>
          </w:tcPr>
          <w:p w:rsidR="00C645B6" w:rsidRDefault="00C645B6" w:rsidP="00C645B6">
            <w:r>
              <w:t>Revised for accuracy.</w:t>
            </w:r>
          </w:p>
        </w:tc>
      </w:tr>
      <w:tr w:rsidR="00C645B6" w:rsidRPr="000F3A8D" w:rsidTr="00C54831">
        <w:trPr>
          <w:trHeight w:val="720"/>
        </w:trPr>
        <w:tc>
          <w:tcPr>
            <w:tcW w:w="1975" w:type="dxa"/>
          </w:tcPr>
          <w:p w:rsidR="00C645B6" w:rsidRDefault="00C645B6" w:rsidP="00C645B6">
            <w:r>
              <w:t>Glossary</w:t>
            </w:r>
          </w:p>
        </w:tc>
        <w:tc>
          <w:tcPr>
            <w:tcW w:w="4410" w:type="dxa"/>
          </w:tcPr>
          <w:p w:rsidR="00C645B6" w:rsidRPr="00F566D2" w:rsidRDefault="00C645B6" w:rsidP="00C645B6">
            <w:pPr>
              <w:rPr>
                <w:sz w:val="24"/>
                <w:szCs w:val="24"/>
              </w:rPr>
            </w:pPr>
          </w:p>
        </w:tc>
        <w:tc>
          <w:tcPr>
            <w:tcW w:w="4367" w:type="dxa"/>
          </w:tcPr>
          <w:p w:rsidR="00C645B6" w:rsidRPr="00F566D2" w:rsidRDefault="00C645B6" w:rsidP="00C645B6">
            <w:pPr>
              <w:rPr>
                <w:sz w:val="24"/>
                <w:szCs w:val="24"/>
              </w:rPr>
            </w:pPr>
            <w:r>
              <w:rPr>
                <w:sz w:val="24"/>
                <w:szCs w:val="24"/>
              </w:rPr>
              <w:t>Definitions reordered so they are in alphabetical order.</w:t>
            </w:r>
            <w:bookmarkStart w:id="42" w:name="_GoBack"/>
            <w:bookmarkEnd w:id="42"/>
          </w:p>
        </w:tc>
        <w:tc>
          <w:tcPr>
            <w:tcW w:w="2925" w:type="dxa"/>
          </w:tcPr>
          <w:p w:rsidR="00C645B6" w:rsidRDefault="00C645B6" w:rsidP="00C645B6"/>
        </w:tc>
      </w:tr>
    </w:tbl>
    <w:p w:rsidR="0041523B" w:rsidRPr="000F3A8D" w:rsidRDefault="0041523B" w:rsidP="009141B5"/>
    <w:sectPr w:rsidR="0041523B" w:rsidRPr="000F3A8D" w:rsidSect="000F3A8D">
      <w:headerReference w:type="default" r:id="rId7"/>
      <w:footerReference w:type="default" r:id="rId8"/>
      <w:pgSz w:w="15840" w:h="12240" w:orient="landscape"/>
      <w:pgMar w:top="1440" w:right="1440" w:bottom="1440"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80" w:rsidRDefault="00054480" w:rsidP="000F3A8D">
      <w:r>
        <w:separator/>
      </w:r>
    </w:p>
  </w:endnote>
  <w:endnote w:type="continuationSeparator" w:id="0">
    <w:p w:rsidR="00054480" w:rsidRDefault="00054480" w:rsidP="000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80" w:rsidRPr="00AF2DEF" w:rsidRDefault="00054480" w:rsidP="000F3A8D">
    <w:pPr>
      <w:pStyle w:val="Footer"/>
    </w:pPr>
    <w:r>
      <w:t xml:space="preserve">ROC 22nd Edition to 23rd </w:t>
    </w:r>
    <w:r w:rsidRPr="00AF2DEF">
      <w:t>Edition</w:t>
    </w:r>
  </w:p>
  <w:p w:rsidR="00054480" w:rsidRPr="00AF2DEF" w:rsidRDefault="00054480" w:rsidP="000F3A8D">
    <w:r w:rsidRPr="00AF2DEF">
      <w:t xml:space="preserve">Page </w:t>
    </w:r>
    <w:r>
      <w:fldChar w:fldCharType="begin"/>
    </w:r>
    <w:r>
      <w:instrText xml:space="preserve"> PAGE </w:instrText>
    </w:r>
    <w:r>
      <w:fldChar w:fldCharType="separate"/>
    </w:r>
    <w:r w:rsidR="00C645B6">
      <w:rPr>
        <w:noProof/>
      </w:rPr>
      <w:t>18</w:t>
    </w:r>
    <w:r>
      <w:rPr>
        <w:noProof/>
      </w:rPr>
      <w:fldChar w:fldCharType="end"/>
    </w:r>
    <w:r w:rsidRPr="00AF2DEF">
      <w:t xml:space="preserve"> of </w:t>
    </w:r>
    <w:r>
      <w:fldChar w:fldCharType="begin"/>
    </w:r>
    <w:r>
      <w:instrText xml:space="preserve"> NUMPAGES  </w:instrText>
    </w:r>
    <w:r>
      <w:fldChar w:fldCharType="separate"/>
    </w:r>
    <w:r w:rsidR="00C645B6">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80" w:rsidRDefault="00054480" w:rsidP="000F3A8D">
      <w:r>
        <w:separator/>
      </w:r>
    </w:p>
  </w:footnote>
  <w:footnote w:type="continuationSeparator" w:id="0">
    <w:p w:rsidR="00054480" w:rsidRDefault="00054480" w:rsidP="000F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564465"/>
      <w:docPartObj>
        <w:docPartGallery w:val="Watermarks"/>
        <w:docPartUnique/>
      </w:docPartObj>
    </w:sdtPr>
    <w:sdtContent>
      <w:p w:rsidR="00054480" w:rsidRDefault="000544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6634"/>
    <w:multiLevelType w:val="multilevel"/>
    <w:tmpl w:val="275ECE0A"/>
    <w:lvl w:ilvl="0">
      <w:start w:val="2"/>
      <w:numFmt w:val="decimal"/>
      <w:lvlText w:val="%1"/>
      <w:lvlJc w:val="left"/>
      <w:pPr>
        <w:tabs>
          <w:tab w:val="num" w:pos="1140"/>
        </w:tabs>
        <w:ind w:left="1140" w:hanging="1140"/>
      </w:pPr>
      <w:rPr>
        <w:rFonts w:cs="Times New Roman" w:hint="default"/>
      </w:rPr>
    </w:lvl>
    <w:lvl w:ilvl="1">
      <w:start w:val="2100"/>
      <w:numFmt w:val="decimal"/>
      <w:lvlText w:val="%1.%2"/>
      <w:lvlJc w:val="left"/>
      <w:pPr>
        <w:tabs>
          <w:tab w:val="num" w:pos="3450"/>
        </w:tabs>
        <w:ind w:left="3450" w:hanging="1140"/>
      </w:pPr>
      <w:rPr>
        <w:rFonts w:cs="Times New Roman" w:hint="default"/>
      </w:rPr>
    </w:lvl>
    <w:lvl w:ilvl="2">
      <w:start w:val="1"/>
      <w:numFmt w:val="decimal"/>
      <w:lvlText w:val="%1.%2.%3"/>
      <w:lvlJc w:val="left"/>
      <w:pPr>
        <w:tabs>
          <w:tab w:val="num" w:pos="5760"/>
        </w:tabs>
        <w:ind w:left="5760" w:hanging="1140"/>
      </w:pPr>
      <w:rPr>
        <w:rFonts w:cs="Times New Roman" w:hint="default"/>
      </w:rPr>
    </w:lvl>
    <w:lvl w:ilvl="3">
      <w:start w:val="1"/>
      <w:numFmt w:val="decimal"/>
      <w:lvlText w:val="%1.%2.%3.%4"/>
      <w:lvlJc w:val="left"/>
      <w:pPr>
        <w:tabs>
          <w:tab w:val="num" w:pos="8070"/>
        </w:tabs>
        <w:ind w:left="8070" w:hanging="1140"/>
      </w:pPr>
      <w:rPr>
        <w:rFonts w:cs="Times New Roman" w:hint="default"/>
      </w:rPr>
    </w:lvl>
    <w:lvl w:ilvl="4">
      <w:start w:val="1"/>
      <w:numFmt w:val="decimal"/>
      <w:lvlText w:val="%1.%2.%3.%4.%5"/>
      <w:lvlJc w:val="left"/>
      <w:pPr>
        <w:tabs>
          <w:tab w:val="num" w:pos="10380"/>
        </w:tabs>
        <w:ind w:left="10380" w:hanging="1140"/>
      </w:pPr>
      <w:rPr>
        <w:rFonts w:cs="Times New Roman" w:hint="default"/>
      </w:rPr>
    </w:lvl>
    <w:lvl w:ilvl="5">
      <w:start w:val="1"/>
      <w:numFmt w:val="decimal"/>
      <w:lvlText w:val="%1.%2.%3.%4.%5.%6"/>
      <w:lvlJc w:val="left"/>
      <w:pPr>
        <w:tabs>
          <w:tab w:val="num" w:pos="12690"/>
        </w:tabs>
        <w:ind w:left="12690" w:hanging="1140"/>
      </w:pPr>
      <w:rPr>
        <w:rFonts w:cs="Times New Roman" w:hint="default"/>
      </w:rPr>
    </w:lvl>
    <w:lvl w:ilvl="6">
      <w:start w:val="1"/>
      <w:numFmt w:val="decimal"/>
      <w:lvlText w:val="%1.%2.%3.%4.%5.%6.%7"/>
      <w:lvlJc w:val="left"/>
      <w:pPr>
        <w:tabs>
          <w:tab w:val="num" w:pos="15300"/>
        </w:tabs>
        <w:ind w:left="15300" w:hanging="1440"/>
      </w:pPr>
      <w:rPr>
        <w:rFonts w:cs="Times New Roman" w:hint="default"/>
      </w:rPr>
    </w:lvl>
    <w:lvl w:ilvl="7">
      <w:start w:val="1"/>
      <w:numFmt w:val="decimal"/>
      <w:lvlText w:val="%1.%2.%3.%4.%5.%6.%7.%8"/>
      <w:lvlJc w:val="left"/>
      <w:pPr>
        <w:tabs>
          <w:tab w:val="num" w:pos="17610"/>
        </w:tabs>
        <w:ind w:left="17610" w:hanging="1440"/>
      </w:pPr>
      <w:rPr>
        <w:rFonts w:cs="Times New Roman" w:hint="default"/>
      </w:rPr>
    </w:lvl>
    <w:lvl w:ilvl="8">
      <w:start w:val="1"/>
      <w:numFmt w:val="decimal"/>
      <w:lvlText w:val="%1.%2.%3.%4.%5.%6.%7.%8.%9"/>
      <w:lvlJc w:val="left"/>
      <w:pPr>
        <w:tabs>
          <w:tab w:val="num" w:pos="20280"/>
        </w:tabs>
        <w:ind w:left="20280" w:hanging="1800"/>
      </w:pPr>
      <w:rPr>
        <w:rFonts w:cs="Times New Roman" w:hint="default"/>
      </w:rPr>
    </w:lvl>
  </w:abstractNum>
  <w:abstractNum w:abstractNumId="1">
    <w:nsid w:val="0A837285"/>
    <w:multiLevelType w:val="multilevel"/>
    <w:tmpl w:val="71D0C66C"/>
    <w:lvl w:ilvl="0">
      <w:start w:val="2"/>
      <w:numFmt w:val="decimal"/>
      <w:lvlText w:val="%1"/>
      <w:lvlJc w:val="left"/>
      <w:pPr>
        <w:ind w:left="660" w:hanging="660"/>
      </w:pPr>
      <w:rPr>
        <w:rFonts w:hint="default"/>
        <w:u w:val="double"/>
      </w:rPr>
    </w:lvl>
    <w:lvl w:ilvl="1">
      <w:start w:val="2110"/>
      <w:numFmt w:val="decimal"/>
      <w:lvlText w:val="%1.%2"/>
      <w:lvlJc w:val="left"/>
      <w:pPr>
        <w:ind w:left="3360" w:hanging="660"/>
      </w:pPr>
      <w:rPr>
        <w:rFonts w:hint="default"/>
        <w:u w:val="double"/>
      </w:rPr>
    </w:lvl>
    <w:lvl w:ilvl="2">
      <w:start w:val="1"/>
      <w:numFmt w:val="decimal"/>
      <w:lvlText w:val="%1.%2.%3"/>
      <w:lvlJc w:val="left"/>
      <w:pPr>
        <w:ind w:left="6120" w:hanging="720"/>
      </w:pPr>
      <w:rPr>
        <w:rFonts w:hint="default"/>
        <w:u w:val="double"/>
      </w:rPr>
    </w:lvl>
    <w:lvl w:ilvl="3">
      <w:start w:val="1"/>
      <w:numFmt w:val="decimal"/>
      <w:lvlText w:val="%1.%2.%3.%4"/>
      <w:lvlJc w:val="left"/>
      <w:pPr>
        <w:ind w:left="8820" w:hanging="720"/>
      </w:pPr>
      <w:rPr>
        <w:rFonts w:hint="default"/>
        <w:u w:val="double"/>
      </w:rPr>
    </w:lvl>
    <w:lvl w:ilvl="4">
      <w:start w:val="1"/>
      <w:numFmt w:val="decimal"/>
      <w:lvlText w:val="%1.%2.%3.%4.%5"/>
      <w:lvlJc w:val="left"/>
      <w:pPr>
        <w:ind w:left="11880" w:hanging="1080"/>
      </w:pPr>
      <w:rPr>
        <w:rFonts w:hint="default"/>
        <w:u w:val="double"/>
      </w:rPr>
    </w:lvl>
    <w:lvl w:ilvl="5">
      <w:start w:val="1"/>
      <w:numFmt w:val="decimal"/>
      <w:lvlText w:val="%1.%2.%3.%4.%5.%6"/>
      <w:lvlJc w:val="left"/>
      <w:pPr>
        <w:ind w:left="14580" w:hanging="1080"/>
      </w:pPr>
      <w:rPr>
        <w:rFonts w:hint="default"/>
        <w:u w:val="double"/>
      </w:rPr>
    </w:lvl>
    <w:lvl w:ilvl="6">
      <w:start w:val="1"/>
      <w:numFmt w:val="decimal"/>
      <w:lvlText w:val="%1.%2.%3.%4.%5.%6.%7"/>
      <w:lvlJc w:val="left"/>
      <w:pPr>
        <w:ind w:left="17640" w:hanging="1440"/>
      </w:pPr>
      <w:rPr>
        <w:rFonts w:hint="default"/>
        <w:u w:val="double"/>
      </w:rPr>
    </w:lvl>
    <w:lvl w:ilvl="7">
      <w:start w:val="1"/>
      <w:numFmt w:val="decimal"/>
      <w:lvlText w:val="%1.%2.%3.%4.%5.%6.%7.%8"/>
      <w:lvlJc w:val="left"/>
      <w:pPr>
        <w:ind w:left="20340" w:hanging="1440"/>
      </w:pPr>
      <w:rPr>
        <w:rFonts w:hint="default"/>
        <w:u w:val="double"/>
      </w:rPr>
    </w:lvl>
    <w:lvl w:ilvl="8">
      <w:start w:val="1"/>
      <w:numFmt w:val="decimal"/>
      <w:lvlText w:val="%1.%2.%3.%4.%5.%6.%7.%8.%9"/>
      <w:lvlJc w:val="left"/>
      <w:pPr>
        <w:ind w:left="23400" w:hanging="1800"/>
      </w:pPr>
      <w:rPr>
        <w:rFonts w:hint="default"/>
        <w:u w:val="double"/>
      </w:rPr>
    </w:lvl>
  </w:abstractNum>
  <w:abstractNum w:abstractNumId="2">
    <w:nsid w:val="33101BC6"/>
    <w:multiLevelType w:val="hybridMultilevel"/>
    <w:tmpl w:val="86783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2A5F62"/>
    <w:multiLevelType w:val="multilevel"/>
    <w:tmpl w:val="592EAFF0"/>
    <w:lvl w:ilvl="0">
      <w:start w:val="7"/>
      <w:numFmt w:val="decimal"/>
      <w:lvlText w:val="%1"/>
      <w:lvlJc w:val="left"/>
      <w:pPr>
        <w:tabs>
          <w:tab w:val="num" w:pos="360"/>
        </w:tabs>
        <w:ind w:left="360" w:hanging="360"/>
      </w:pPr>
      <w:rPr>
        <w:rFonts w:cs="Times New Roman" w:hint="default"/>
      </w:rPr>
    </w:lvl>
    <w:lvl w:ilvl="1">
      <w:start w:val="2400"/>
      <w:numFmt w:val="decimal"/>
      <w:lvlText w:val="%1.%2"/>
      <w:lvlJc w:val="left"/>
      <w:pPr>
        <w:tabs>
          <w:tab w:val="num" w:pos="2700"/>
        </w:tabs>
        <w:ind w:left="2700" w:hanging="360"/>
      </w:pPr>
      <w:rPr>
        <w:rFonts w:cs="Times New Roman" w:hint="default"/>
      </w:rPr>
    </w:lvl>
    <w:lvl w:ilvl="2">
      <w:start w:val="1"/>
      <w:numFmt w:val="decimal"/>
      <w:lvlText w:val="%1.%2.%3"/>
      <w:lvlJc w:val="left"/>
      <w:pPr>
        <w:tabs>
          <w:tab w:val="num" w:pos="5400"/>
        </w:tabs>
        <w:ind w:left="5400" w:hanging="720"/>
      </w:pPr>
      <w:rPr>
        <w:rFonts w:cs="Times New Roman" w:hint="default"/>
      </w:rPr>
    </w:lvl>
    <w:lvl w:ilvl="3">
      <w:start w:val="1"/>
      <w:numFmt w:val="decimal"/>
      <w:lvlText w:val="%1.%2.%3.%4"/>
      <w:lvlJc w:val="left"/>
      <w:pPr>
        <w:tabs>
          <w:tab w:val="num" w:pos="7740"/>
        </w:tabs>
        <w:ind w:left="7740" w:hanging="72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EF"/>
    <w:rsid w:val="0000225B"/>
    <w:rsid w:val="00003DE1"/>
    <w:rsid w:val="000050AA"/>
    <w:rsid w:val="00005EFD"/>
    <w:rsid w:val="00006595"/>
    <w:rsid w:val="000073F2"/>
    <w:rsid w:val="0001153B"/>
    <w:rsid w:val="00013CB4"/>
    <w:rsid w:val="00013EAD"/>
    <w:rsid w:val="00014FD5"/>
    <w:rsid w:val="0001666B"/>
    <w:rsid w:val="00016D09"/>
    <w:rsid w:val="0002073F"/>
    <w:rsid w:val="000214A9"/>
    <w:rsid w:val="0002183F"/>
    <w:rsid w:val="000257A5"/>
    <w:rsid w:val="00027CB6"/>
    <w:rsid w:val="00027F85"/>
    <w:rsid w:val="00031E6B"/>
    <w:rsid w:val="00032071"/>
    <w:rsid w:val="00032808"/>
    <w:rsid w:val="0003346E"/>
    <w:rsid w:val="00033741"/>
    <w:rsid w:val="000400F1"/>
    <w:rsid w:val="0004126A"/>
    <w:rsid w:val="0004279F"/>
    <w:rsid w:val="00045313"/>
    <w:rsid w:val="00046E1A"/>
    <w:rsid w:val="000470E0"/>
    <w:rsid w:val="00051DFF"/>
    <w:rsid w:val="00053C9D"/>
    <w:rsid w:val="00054138"/>
    <w:rsid w:val="00054480"/>
    <w:rsid w:val="0005506C"/>
    <w:rsid w:val="000555CC"/>
    <w:rsid w:val="000565B2"/>
    <w:rsid w:val="00056EF8"/>
    <w:rsid w:val="00060400"/>
    <w:rsid w:val="00061843"/>
    <w:rsid w:val="000649F2"/>
    <w:rsid w:val="00065C8C"/>
    <w:rsid w:val="0006670F"/>
    <w:rsid w:val="000725BD"/>
    <w:rsid w:val="00073B99"/>
    <w:rsid w:val="0007615E"/>
    <w:rsid w:val="00076602"/>
    <w:rsid w:val="0007730D"/>
    <w:rsid w:val="000819C2"/>
    <w:rsid w:val="00085E40"/>
    <w:rsid w:val="00090DA8"/>
    <w:rsid w:val="00091D8F"/>
    <w:rsid w:val="000927BF"/>
    <w:rsid w:val="00093BB9"/>
    <w:rsid w:val="000A18A7"/>
    <w:rsid w:val="000A368F"/>
    <w:rsid w:val="000A3EB5"/>
    <w:rsid w:val="000A48FD"/>
    <w:rsid w:val="000A7755"/>
    <w:rsid w:val="000A7A8A"/>
    <w:rsid w:val="000B004E"/>
    <w:rsid w:val="000B20AB"/>
    <w:rsid w:val="000B24DA"/>
    <w:rsid w:val="000B2781"/>
    <w:rsid w:val="000B2813"/>
    <w:rsid w:val="000B3D45"/>
    <w:rsid w:val="000B57DE"/>
    <w:rsid w:val="000C3374"/>
    <w:rsid w:val="000C426D"/>
    <w:rsid w:val="000C49E0"/>
    <w:rsid w:val="000C4AC5"/>
    <w:rsid w:val="000C4CEB"/>
    <w:rsid w:val="000C6D1C"/>
    <w:rsid w:val="000C7BC0"/>
    <w:rsid w:val="000D1B7F"/>
    <w:rsid w:val="000D2958"/>
    <w:rsid w:val="000D4473"/>
    <w:rsid w:val="000D6473"/>
    <w:rsid w:val="000D6D89"/>
    <w:rsid w:val="000E2393"/>
    <w:rsid w:val="000E34E8"/>
    <w:rsid w:val="000E6160"/>
    <w:rsid w:val="000E7521"/>
    <w:rsid w:val="000F0604"/>
    <w:rsid w:val="000F0E82"/>
    <w:rsid w:val="000F1F07"/>
    <w:rsid w:val="000F3A8D"/>
    <w:rsid w:val="000F6ED7"/>
    <w:rsid w:val="0010094F"/>
    <w:rsid w:val="00101A08"/>
    <w:rsid w:val="00103C31"/>
    <w:rsid w:val="001058B8"/>
    <w:rsid w:val="00106D39"/>
    <w:rsid w:val="00111A7D"/>
    <w:rsid w:val="00111C92"/>
    <w:rsid w:val="00112736"/>
    <w:rsid w:val="001139EB"/>
    <w:rsid w:val="001149F1"/>
    <w:rsid w:val="00115C2D"/>
    <w:rsid w:val="00120560"/>
    <w:rsid w:val="00121240"/>
    <w:rsid w:val="001215B8"/>
    <w:rsid w:val="00122540"/>
    <w:rsid w:val="0012265D"/>
    <w:rsid w:val="00126CA9"/>
    <w:rsid w:val="0013159D"/>
    <w:rsid w:val="00131B57"/>
    <w:rsid w:val="0013208A"/>
    <w:rsid w:val="00132645"/>
    <w:rsid w:val="00133976"/>
    <w:rsid w:val="0013463F"/>
    <w:rsid w:val="00137494"/>
    <w:rsid w:val="001375C9"/>
    <w:rsid w:val="001413FA"/>
    <w:rsid w:val="00141912"/>
    <w:rsid w:val="00141D8B"/>
    <w:rsid w:val="00141F3C"/>
    <w:rsid w:val="00142BA2"/>
    <w:rsid w:val="00150805"/>
    <w:rsid w:val="00150B98"/>
    <w:rsid w:val="00152183"/>
    <w:rsid w:val="00152EC2"/>
    <w:rsid w:val="0015454D"/>
    <w:rsid w:val="00154B2F"/>
    <w:rsid w:val="00156AE6"/>
    <w:rsid w:val="0016181B"/>
    <w:rsid w:val="00164F6B"/>
    <w:rsid w:val="00165628"/>
    <w:rsid w:val="00171537"/>
    <w:rsid w:val="00171C53"/>
    <w:rsid w:val="00173F33"/>
    <w:rsid w:val="0017534F"/>
    <w:rsid w:val="00176379"/>
    <w:rsid w:val="00176AF6"/>
    <w:rsid w:val="00183037"/>
    <w:rsid w:val="001848C0"/>
    <w:rsid w:val="00186315"/>
    <w:rsid w:val="00187373"/>
    <w:rsid w:val="001915FB"/>
    <w:rsid w:val="001934A0"/>
    <w:rsid w:val="00193A65"/>
    <w:rsid w:val="00194C14"/>
    <w:rsid w:val="00194ECF"/>
    <w:rsid w:val="001951F3"/>
    <w:rsid w:val="00195C8E"/>
    <w:rsid w:val="001963C3"/>
    <w:rsid w:val="001A018E"/>
    <w:rsid w:val="001A2E18"/>
    <w:rsid w:val="001A5AAB"/>
    <w:rsid w:val="001A5BD7"/>
    <w:rsid w:val="001A5DBC"/>
    <w:rsid w:val="001A7E09"/>
    <w:rsid w:val="001B03B7"/>
    <w:rsid w:val="001B0D18"/>
    <w:rsid w:val="001B20AC"/>
    <w:rsid w:val="001B3851"/>
    <w:rsid w:val="001B3D3E"/>
    <w:rsid w:val="001C072A"/>
    <w:rsid w:val="001C105E"/>
    <w:rsid w:val="001C3063"/>
    <w:rsid w:val="001C483E"/>
    <w:rsid w:val="001C597E"/>
    <w:rsid w:val="001D022D"/>
    <w:rsid w:val="001D1CE3"/>
    <w:rsid w:val="001D3AD0"/>
    <w:rsid w:val="001D3BC0"/>
    <w:rsid w:val="001D6D7F"/>
    <w:rsid w:val="001E185C"/>
    <w:rsid w:val="001E2ACA"/>
    <w:rsid w:val="001E728E"/>
    <w:rsid w:val="001E7CFA"/>
    <w:rsid w:val="001F0E42"/>
    <w:rsid w:val="001F29AA"/>
    <w:rsid w:val="001F544F"/>
    <w:rsid w:val="00201B27"/>
    <w:rsid w:val="00201D44"/>
    <w:rsid w:val="00202DBB"/>
    <w:rsid w:val="00203D22"/>
    <w:rsid w:val="002045B0"/>
    <w:rsid w:val="0020655E"/>
    <w:rsid w:val="0020692B"/>
    <w:rsid w:val="00211FC3"/>
    <w:rsid w:val="00213C37"/>
    <w:rsid w:val="0021612A"/>
    <w:rsid w:val="002164D4"/>
    <w:rsid w:val="00216FF4"/>
    <w:rsid w:val="0022122F"/>
    <w:rsid w:val="002236A8"/>
    <w:rsid w:val="00223F1A"/>
    <w:rsid w:val="00227D99"/>
    <w:rsid w:val="002317BC"/>
    <w:rsid w:val="00232AEF"/>
    <w:rsid w:val="00232C84"/>
    <w:rsid w:val="00233725"/>
    <w:rsid w:val="00240D3C"/>
    <w:rsid w:val="00241A99"/>
    <w:rsid w:val="00242514"/>
    <w:rsid w:val="00242B49"/>
    <w:rsid w:val="00242C27"/>
    <w:rsid w:val="00244B95"/>
    <w:rsid w:val="00245E76"/>
    <w:rsid w:val="00245EFA"/>
    <w:rsid w:val="00246D1A"/>
    <w:rsid w:val="0025139B"/>
    <w:rsid w:val="00251CDF"/>
    <w:rsid w:val="002529FC"/>
    <w:rsid w:val="00252D5E"/>
    <w:rsid w:val="00253D7A"/>
    <w:rsid w:val="0025490A"/>
    <w:rsid w:val="00255655"/>
    <w:rsid w:val="00256100"/>
    <w:rsid w:val="002576D6"/>
    <w:rsid w:val="00260F35"/>
    <w:rsid w:val="00262FEF"/>
    <w:rsid w:val="00273924"/>
    <w:rsid w:val="00274C91"/>
    <w:rsid w:val="00275200"/>
    <w:rsid w:val="00275E88"/>
    <w:rsid w:val="00286654"/>
    <w:rsid w:val="00290A05"/>
    <w:rsid w:val="002913E7"/>
    <w:rsid w:val="002918C2"/>
    <w:rsid w:val="00291FD5"/>
    <w:rsid w:val="0029334B"/>
    <w:rsid w:val="00293661"/>
    <w:rsid w:val="002950AC"/>
    <w:rsid w:val="00296C17"/>
    <w:rsid w:val="002A0AF7"/>
    <w:rsid w:val="002A10C3"/>
    <w:rsid w:val="002A5D07"/>
    <w:rsid w:val="002A765F"/>
    <w:rsid w:val="002A7C5F"/>
    <w:rsid w:val="002B28D9"/>
    <w:rsid w:val="002B530B"/>
    <w:rsid w:val="002B6093"/>
    <w:rsid w:val="002B7BCE"/>
    <w:rsid w:val="002C1870"/>
    <w:rsid w:val="002C2634"/>
    <w:rsid w:val="002C3956"/>
    <w:rsid w:val="002C45FF"/>
    <w:rsid w:val="002C5906"/>
    <w:rsid w:val="002C647B"/>
    <w:rsid w:val="002C694A"/>
    <w:rsid w:val="002C7A5B"/>
    <w:rsid w:val="002D17BC"/>
    <w:rsid w:val="002D1B04"/>
    <w:rsid w:val="002D1B2C"/>
    <w:rsid w:val="002D284D"/>
    <w:rsid w:val="002D31EF"/>
    <w:rsid w:val="002D46AD"/>
    <w:rsid w:val="002D604D"/>
    <w:rsid w:val="002D7852"/>
    <w:rsid w:val="002D79B2"/>
    <w:rsid w:val="002E09F3"/>
    <w:rsid w:val="002E2A62"/>
    <w:rsid w:val="002E741A"/>
    <w:rsid w:val="002F086D"/>
    <w:rsid w:val="002F6876"/>
    <w:rsid w:val="003015A2"/>
    <w:rsid w:val="00301B9D"/>
    <w:rsid w:val="003035E0"/>
    <w:rsid w:val="00304246"/>
    <w:rsid w:val="0031136B"/>
    <w:rsid w:val="003135F1"/>
    <w:rsid w:val="00313E0A"/>
    <w:rsid w:val="00315FA4"/>
    <w:rsid w:val="003160E1"/>
    <w:rsid w:val="00316AA8"/>
    <w:rsid w:val="00321654"/>
    <w:rsid w:val="00321E9A"/>
    <w:rsid w:val="0032325B"/>
    <w:rsid w:val="00323BD4"/>
    <w:rsid w:val="00324FD6"/>
    <w:rsid w:val="0032523F"/>
    <w:rsid w:val="00325384"/>
    <w:rsid w:val="00326F40"/>
    <w:rsid w:val="003276B0"/>
    <w:rsid w:val="00330F66"/>
    <w:rsid w:val="0033115D"/>
    <w:rsid w:val="00333068"/>
    <w:rsid w:val="00335D73"/>
    <w:rsid w:val="00336E4B"/>
    <w:rsid w:val="003422BF"/>
    <w:rsid w:val="00342A40"/>
    <w:rsid w:val="00344C31"/>
    <w:rsid w:val="003518C7"/>
    <w:rsid w:val="00351D7E"/>
    <w:rsid w:val="003535AD"/>
    <w:rsid w:val="00355FE2"/>
    <w:rsid w:val="003665FF"/>
    <w:rsid w:val="00366739"/>
    <w:rsid w:val="0036696B"/>
    <w:rsid w:val="00371053"/>
    <w:rsid w:val="00371110"/>
    <w:rsid w:val="00371A70"/>
    <w:rsid w:val="00371C03"/>
    <w:rsid w:val="00376C5C"/>
    <w:rsid w:val="0037718A"/>
    <w:rsid w:val="00383D98"/>
    <w:rsid w:val="00386344"/>
    <w:rsid w:val="00387547"/>
    <w:rsid w:val="0039071F"/>
    <w:rsid w:val="00390E26"/>
    <w:rsid w:val="003910C8"/>
    <w:rsid w:val="00391FE8"/>
    <w:rsid w:val="00395BD7"/>
    <w:rsid w:val="00395BF4"/>
    <w:rsid w:val="00395F4C"/>
    <w:rsid w:val="00396A42"/>
    <w:rsid w:val="00397B20"/>
    <w:rsid w:val="003A3A5D"/>
    <w:rsid w:val="003A6A05"/>
    <w:rsid w:val="003A7635"/>
    <w:rsid w:val="003B6C47"/>
    <w:rsid w:val="003B7099"/>
    <w:rsid w:val="003C3155"/>
    <w:rsid w:val="003C5F21"/>
    <w:rsid w:val="003C78FB"/>
    <w:rsid w:val="003D2315"/>
    <w:rsid w:val="003D301C"/>
    <w:rsid w:val="003D654A"/>
    <w:rsid w:val="003D66CB"/>
    <w:rsid w:val="003D69E2"/>
    <w:rsid w:val="003D6C6C"/>
    <w:rsid w:val="003E075D"/>
    <w:rsid w:val="003E0D6F"/>
    <w:rsid w:val="003E14A1"/>
    <w:rsid w:val="003E1624"/>
    <w:rsid w:val="003E1A5E"/>
    <w:rsid w:val="003E3292"/>
    <w:rsid w:val="003E3480"/>
    <w:rsid w:val="003E45C0"/>
    <w:rsid w:val="003E467B"/>
    <w:rsid w:val="003E4844"/>
    <w:rsid w:val="003E4CD2"/>
    <w:rsid w:val="003E5819"/>
    <w:rsid w:val="003E62AC"/>
    <w:rsid w:val="003E7F81"/>
    <w:rsid w:val="003F0E9C"/>
    <w:rsid w:val="003F2856"/>
    <w:rsid w:val="003F756F"/>
    <w:rsid w:val="00400E43"/>
    <w:rsid w:val="0040164C"/>
    <w:rsid w:val="004019FB"/>
    <w:rsid w:val="00403071"/>
    <w:rsid w:val="004043FD"/>
    <w:rsid w:val="00406563"/>
    <w:rsid w:val="004076CB"/>
    <w:rsid w:val="00407F74"/>
    <w:rsid w:val="00407FBD"/>
    <w:rsid w:val="00410DBB"/>
    <w:rsid w:val="00411143"/>
    <w:rsid w:val="00412427"/>
    <w:rsid w:val="0041421F"/>
    <w:rsid w:val="0041499F"/>
    <w:rsid w:val="0041523B"/>
    <w:rsid w:val="00415D48"/>
    <w:rsid w:val="004162F3"/>
    <w:rsid w:val="00417889"/>
    <w:rsid w:val="00417DDD"/>
    <w:rsid w:val="00424051"/>
    <w:rsid w:val="0042792F"/>
    <w:rsid w:val="00433633"/>
    <w:rsid w:val="00436409"/>
    <w:rsid w:val="004369B1"/>
    <w:rsid w:val="00437F7F"/>
    <w:rsid w:val="0044121D"/>
    <w:rsid w:val="00441E51"/>
    <w:rsid w:val="0044434B"/>
    <w:rsid w:val="00444EF8"/>
    <w:rsid w:val="00447B59"/>
    <w:rsid w:val="004500D2"/>
    <w:rsid w:val="0045111D"/>
    <w:rsid w:val="00453F55"/>
    <w:rsid w:val="00456700"/>
    <w:rsid w:val="00456A25"/>
    <w:rsid w:val="0045729D"/>
    <w:rsid w:val="00460E56"/>
    <w:rsid w:val="00461755"/>
    <w:rsid w:val="004619E7"/>
    <w:rsid w:val="00463475"/>
    <w:rsid w:val="004639B3"/>
    <w:rsid w:val="00470AFC"/>
    <w:rsid w:val="00472BD2"/>
    <w:rsid w:val="004736B8"/>
    <w:rsid w:val="00473BA2"/>
    <w:rsid w:val="00475101"/>
    <w:rsid w:val="00475753"/>
    <w:rsid w:val="00481692"/>
    <w:rsid w:val="00486315"/>
    <w:rsid w:val="00486633"/>
    <w:rsid w:val="0049265B"/>
    <w:rsid w:val="00494511"/>
    <w:rsid w:val="00496BFE"/>
    <w:rsid w:val="004A0D13"/>
    <w:rsid w:val="004A62ED"/>
    <w:rsid w:val="004A7FB7"/>
    <w:rsid w:val="004B045C"/>
    <w:rsid w:val="004B0523"/>
    <w:rsid w:val="004B3EF4"/>
    <w:rsid w:val="004B6BA0"/>
    <w:rsid w:val="004B7D10"/>
    <w:rsid w:val="004C2871"/>
    <w:rsid w:val="004C5698"/>
    <w:rsid w:val="004C5FBF"/>
    <w:rsid w:val="004C72B4"/>
    <w:rsid w:val="004D027D"/>
    <w:rsid w:val="004D1849"/>
    <w:rsid w:val="004D1AF6"/>
    <w:rsid w:val="004D4227"/>
    <w:rsid w:val="004D49CD"/>
    <w:rsid w:val="004D5C9C"/>
    <w:rsid w:val="004E2004"/>
    <w:rsid w:val="004E3FC2"/>
    <w:rsid w:val="004E455F"/>
    <w:rsid w:val="004E5B20"/>
    <w:rsid w:val="004E5C4D"/>
    <w:rsid w:val="004E6625"/>
    <w:rsid w:val="004E682B"/>
    <w:rsid w:val="004E6DDF"/>
    <w:rsid w:val="004E7BC4"/>
    <w:rsid w:val="004F18E4"/>
    <w:rsid w:val="004F3F9F"/>
    <w:rsid w:val="004F4F17"/>
    <w:rsid w:val="004F7017"/>
    <w:rsid w:val="004F7076"/>
    <w:rsid w:val="004F722F"/>
    <w:rsid w:val="00500954"/>
    <w:rsid w:val="00503C12"/>
    <w:rsid w:val="0050493C"/>
    <w:rsid w:val="00505808"/>
    <w:rsid w:val="0050763F"/>
    <w:rsid w:val="00510160"/>
    <w:rsid w:val="005103B9"/>
    <w:rsid w:val="005122F5"/>
    <w:rsid w:val="00513A88"/>
    <w:rsid w:val="00513BAF"/>
    <w:rsid w:val="00516605"/>
    <w:rsid w:val="005170D0"/>
    <w:rsid w:val="00521A8A"/>
    <w:rsid w:val="0052491C"/>
    <w:rsid w:val="005274D8"/>
    <w:rsid w:val="00531A5D"/>
    <w:rsid w:val="00532AB3"/>
    <w:rsid w:val="00540AFA"/>
    <w:rsid w:val="00542400"/>
    <w:rsid w:val="00551F4A"/>
    <w:rsid w:val="00552542"/>
    <w:rsid w:val="00555CFB"/>
    <w:rsid w:val="0055705A"/>
    <w:rsid w:val="00557691"/>
    <w:rsid w:val="0056229E"/>
    <w:rsid w:val="0056272B"/>
    <w:rsid w:val="005664FA"/>
    <w:rsid w:val="00566D68"/>
    <w:rsid w:val="0057035C"/>
    <w:rsid w:val="005705F3"/>
    <w:rsid w:val="00570AA1"/>
    <w:rsid w:val="00574CE2"/>
    <w:rsid w:val="00574D42"/>
    <w:rsid w:val="00576CA1"/>
    <w:rsid w:val="00576F61"/>
    <w:rsid w:val="00580274"/>
    <w:rsid w:val="00580A57"/>
    <w:rsid w:val="0058240F"/>
    <w:rsid w:val="00582A72"/>
    <w:rsid w:val="00583602"/>
    <w:rsid w:val="0058460A"/>
    <w:rsid w:val="0058463C"/>
    <w:rsid w:val="005919D7"/>
    <w:rsid w:val="00592542"/>
    <w:rsid w:val="0059531C"/>
    <w:rsid w:val="0059594C"/>
    <w:rsid w:val="00595E70"/>
    <w:rsid w:val="00597E7B"/>
    <w:rsid w:val="005A1444"/>
    <w:rsid w:val="005A1A99"/>
    <w:rsid w:val="005A25BA"/>
    <w:rsid w:val="005A2B7D"/>
    <w:rsid w:val="005A38B1"/>
    <w:rsid w:val="005A3B00"/>
    <w:rsid w:val="005A4DFE"/>
    <w:rsid w:val="005A631E"/>
    <w:rsid w:val="005B232A"/>
    <w:rsid w:val="005B354E"/>
    <w:rsid w:val="005B7681"/>
    <w:rsid w:val="005C0417"/>
    <w:rsid w:val="005C4E56"/>
    <w:rsid w:val="005C502D"/>
    <w:rsid w:val="005C75E0"/>
    <w:rsid w:val="005D0CAC"/>
    <w:rsid w:val="005D12AB"/>
    <w:rsid w:val="005D2777"/>
    <w:rsid w:val="005D27F8"/>
    <w:rsid w:val="005D3621"/>
    <w:rsid w:val="005D468B"/>
    <w:rsid w:val="005D5241"/>
    <w:rsid w:val="005D7C0E"/>
    <w:rsid w:val="005E2384"/>
    <w:rsid w:val="005E5A36"/>
    <w:rsid w:val="005E61B8"/>
    <w:rsid w:val="005E69E5"/>
    <w:rsid w:val="005E6E1D"/>
    <w:rsid w:val="005F1F1B"/>
    <w:rsid w:val="005F335D"/>
    <w:rsid w:val="005F444D"/>
    <w:rsid w:val="005F63EF"/>
    <w:rsid w:val="005F7820"/>
    <w:rsid w:val="005F79B6"/>
    <w:rsid w:val="00600DB3"/>
    <w:rsid w:val="006014F6"/>
    <w:rsid w:val="00601700"/>
    <w:rsid w:val="006051DE"/>
    <w:rsid w:val="00606060"/>
    <w:rsid w:val="006070BB"/>
    <w:rsid w:val="00612A55"/>
    <w:rsid w:val="00612F76"/>
    <w:rsid w:val="0061328A"/>
    <w:rsid w:val="00613925"/>
    <w:rsid w:val="0061493B"/>
    <w:rsid w:val="00614E1B"/>
    <w:rsid w:val="006161AB"/>
    <w:rsid w:val="00616C2C"/>
    <w:rsid w:val="00621197"/>
    <w:rsid w:val="00621941"/>
    <w:rsid w:val="00621BF6"/>
    <w:rsid w:val="00623A77"/>
    <w:rsid w:val="00625886"/>
    <w:rsid w:val="00631F1B"/>
    <w:rsid w:val="00632C89"/>
    <w:rsid w:val="00633CA5"/>
    <w:rsid w:val="00635629"/>
    <w:rsid w:val="00641A2D"/>
    <w:rsid w:val="006423B2"/>
    <w:rsid w:val="00644C7A"/>
    <w:rsid w:val="00644D71"/>
    <w:rsid w:val="00647B41"/>
    <w:rsid w:val="00647EF7"/>
    <w:rsid w:val="0065061F"/>
    <w:rsid w:val="006549DA"/>
    <w:rsid w:val="00654C98"/>
    <w:rsid w:val="006577D5"/>
    <w:rsid w:val="006603AD"/>
    <w:rsid w:val="006623E2"/>
    <w:rsid w:val="006629E4"/>
    <w:rsid w:val="0066371A"/>
    <w:rsid w:val="00663A78"/>
    <w:rsid w:val="00663AD9"/>
    <w:rsid w:val="00663FD0"/>
    <w:rsid w:val="006676C0"/>
    <w:rsid w:val="0067028D"/>
    <w:rsid w:val="0067279A"/>
    <w:rsid w:val="006743BE"/>
    <w:rsid w:val="00676F5A"/>
    <w:rsid w:val="00677ADD"/>
    <w:rsid w:val="006817A2"/>
    <w:rsid w:val="0068189A"/>
    <w:rsid w:val="0068333B"/>
    <w:rsid w:val="00684AD9"/>
    <w:rsid w:val="00685FF4"/>
    <w:rsid w:val="00686614"/>
    <w:rsid w:val="00687364"/>
    <w:rsid w:val="00687850"/>
    <w:rsid w:val="006901BA"/>
    <w:rsid w:val="006912F1"/>
    <w:rsid w:val="006926DB"/>
    <w:rsid w:val="00693FD6"/>
    <w:rsid w:val="00696A53"/>
    <w:rsid w:val="00697E58"/>
    <w:rsid w:val="006A0F96"/>
    <w:rsid w:val="006A108C"/>
    <w:rsid w:val="006A360B"/>
    <w:rsid w:val="006A3BB4"/>
    <w:rsid w:val="006A66BB"/>
    <w:rsid w:val="006B6FD6"/>
    <w:rsid w:val="006C1CAD"/>
    <w:rsid w:val="006C3317"/>
    <w:rsid w:val="006C3A1A"/>
    <w:rsid w:val="006C419B"/>
    <w:rsid w:val="006D153C"/>
    <w:rsid w:val="006D328A"/>
    <w:rsid w:val="006D38EB"/>
    <w:rsid w:val="006D65B3"/>
    <w:rsid w:val="006D7223"/>
    <w:rsid w:val="006D7F96"/>
    <w:rsid w:val="006E0380"/>
    <w:rsid w:val="006E0651"/>
    <w:rsid w:val="006E114A"/>
    <w:rsid w:val="006E12E8"/>
    <w:rsid w:val="006E3B20"/>
    <w:rsid w:val="006E6F59"/>
    <w:rsid w:val="006E75D0"/>
    <w:rsid w:val="006E7D66"/>
    <w:rsid w:val="006F2DA9"/>
    <w:rsid w:val="006F334A"/>
    <w:rsid w:val="006F7300"/>
    <w:rsid w:val="006F7D1C"/>
    <w:rsid w:val="007044AE"/>
    <w:rsid w:val="007077C9"/>
    <w:rsid w:val="00710757"/>
    <w:rsid w:val="00710896"/>
    <w:rsid w:val="007212B9"/>
    <w:rsid w:val="0072179F"/>
    <w:rsid w:val="00722BB9"/>
    <w:rsid w:val="007234BD"/>
    <w:rsid w:val="0072420D"/>
    <w:rsid w:val="0072430B"/>
    <w:rsid w:val="00724674"/>
    <w:rsid w:val="0072561F"/>
    <w:rsid w:val="00726605"/>
    <w:rsid w:val="0073065C"/>
    <w:rsid w:val="00733360"/>
    <w:rsid w:val="00735203"/>
    <w:rsid w:val="007408FD"/>
    <w:rsid w:val="007426A6"/>
    <w:rsid w:val="00742944"/>
    <w:rsid w:val="007445CA"/>
    <w:rsid w:val="00744E26"/>
    <w:rsid w:val="0074616A"/>
    <w:rsid w:val="0075012A"/>
    <w:rsid w:val="00750ACE"/>
    <w:rsid w:val="00750F74"/>
    <w:rsid w:val="0075139E"/>
    <w:rsid w:val="007514EC"/>
    <w:rsid w:val="007535C1"/>
    <w:rsid w:val="00753A41"/>
    <w:rsid w:val="0075698F"/>
    <w:rsid w:val="007615D9"/>
    <w:rsid w:val="00761AE2"/>
    <w:rsid w:val="00766C83"/>
    <w:rsid w:val="0077003B"/>
    <w:rsid w:val="0077185C"/>
    <w:rsid w:val="007718C6"/>
    <w:rsid w:val="00773B0A"/>
    <w:rsid w:val="007757F8"/>
    <w:rsid w:val="00777213"/>
    <w:rsid w:val="0078123F"/>
    <w:rsid w:val="00784A67"/>
    <w:rsid w:val="00786471"/>
    <w:rsid w:val="00786C71"/>
    <w:rsid w:val="007919A2"/>
    <w:rsid w:val="00793B40"/>
    <w:rsid w:val="007A08EF"/>
    <w:rsid w:val="007A22E2"/>
    <w:rsid w:val="007A431D"/>
    <w:rsid w:val="007A6A64"/>
    <w:rsid w:val="007A7750"/>
    <w:rsid w:val="007A7E1A"/>
    <w:rsid w:val="007A7E3D"/>
    <w:rsid w:val="007A7F38"/>
    <w:rsid w:val="007B0580"/>
    <w:rsid w:val="007B2D0A"/>
    <w:rsid w:val="007B4C18"/>
    <w:rsid w:val="007B560D"/>
    <w:rsid w:val="007B5DBC"/>
    <w:rsid w:val="007B6300"/>
    <w:rsid w:val="007B7155"/>
    <w:rsid w:val="007C0D47"/>
    <w:rsid w:val="007C161A"/>
    <w:rsid w:val="007C23ED"/>
    <w:rsid w:val="007C29AC"/>
    <w:rsid w:val="007C5A4C"/>
    <w:rsid w:val="007C6DD3"/>
    <w:rsid w:val="007D2530"/>
    <w:rsid w:val="007D2565"/>
    <w:rsid w:val="007D26F1"/>
    <w:rsid w:val="007D3631"/>
    <w:rsid w:val="007D3D91"/>
    <w:rsid w:val="007D4A9E"/>
    <w:rsid w:val="007D685F"/>
    <w:rsid w:val="007D68B5"/>
    <w:rsid w:val="007E4792"/>
    <w:rsid w:val="007E5CEE"/>
    <w:rsid w:val="007E6115"/>
    <w:rsid w:val="007E6714"/>
    <w:rsid w:val="007F0C3C"/>
    <w:rsid w:val="007F11C5"/>
    <w:rsid w:val="007F1EEA"/>
    <w:rsid w:val="007F58BB"/>
    <w:rsid w:val="007F5A2C"/>
    <w:rsid w:val="007F5C79"/>
    <w:rsid w:val="007F6DF3"/>
    <w:rsid w:val="0080026F"/>
    <w:rsid w:val="0080357F"/>
    <w:rsid w:val="00811367"/>
    <w:rsid w:val="00813400"/>
    <w:rsid w:val="0081439F"/>
    <w:rsid w:val="008155FE"/>
    <w:rsid w:val="00816090"/>
    <w:rsid w:val="00820BC7"/>
    <w:rsid w:val="00822B3A"/>
    <w:rsid w:val="00823B12"/>
    <w:rsid w:val="008257CE"/>
    <w:rsid w:val="0082720A"/>
    <w:rsid w:val="00830FE9"/>
    <w:rsid w:val="0083150D"/>
    <w:rsid w:val="00831F68"/>
    <w:rsid w:val="008321E0"/>
    <w:rsid w:val="00832538"/>
    <w:rsid w:val="00832757"/>
    <w:rsid w:val="00835FF0"/>
    <w:rsid w:val="00843E08"/>
    <w:rsid w:val="0084413C"/>
    <w:rsid w:val="00855CC8"/>
    <w:rsid w:val="0085692B"/>
    <w:rsid w:val="00856A46"/>
    <w:rsid w:val="00860681"/>
    <w:rsid w:val="00861524"/>
    <w:rsid w:val="008616B9"/>
    <w:rsid w:val="008639D0"/>
    <w:rsid w:val="0086437F"/>
    <w:rsid w:val="008664AA"/>
    <w:rsid w:val="00870077"/>
    <w:rsid w:val="00871946"/>
    <w:rsid w:val="00872CAE"/>
    <w:rsid w:val="008735BD"/>
    <w:rsid w:val="008755A7"/>
    <w:rsid w:val="00876DDE"/>
    <w:rsid w:val="0088020E"/>
    <w:rsid w:val="008814BC"/>
    <w:rsid w:val="0088333A"/>
    <w:rsid w:val="008834FC"/>
    <w:rsid w:val="00883F7D"/>
    <w:rsid w:val="00884F3A"/>
    <w:rsid w:val="00885EFD"/>
    <w:rsid w:val="00886078"/>
    <w:rsid w:val="00887746"/>
    <w:rsid w:val="00890D9C"/>
    <w:rsid w:val="00894CB1"/>
    <w:rsid w:val="008A3060"/>
    <w:rsid w:val="008A3CD2"/>
    <w:rsid w:val="008A4497"/>
    <w:rsid w:val="008A683F"/>
    <w:rsid w:val="008A6A0C"/>
    <w:rsid w:val="008A7F1F"/>
    <w:rsid w:val="008B140F"/>
    <w:rsid w:val="008B555C"/>
    <w:rsid w:val="008B6E8B"/>
    <w:rsid w:val="008C2AFF"/>
    <w:rsid w:val="008C31B2"/>
    <w:rsid w:val="008C47AE"/>
    <w:rsid w:val="008C4A1D"/>
    <w:rsid w:val="008C70F4"/>
    <w:rsid w:val="008C75E5"/>
    <w:rsid w:val="008D2AF6"/>
    <w:rsid w:val="008D42DD"/>
    <w:rsid w:val="008D6D84"/>
    <w:rsid w:val="008D76A9"/>
    <w:rsid w:val="008E07E1"/>
    <w:rsid w:val="008E0B4D"/>
    <w:rsid w:val="008E0F0E"/>
    <w:rsid w:val="008E6A8F"/>
    <w:rsid w:val="008E70FD"/>
    <w:rsid w:val="008E76C8"/>
    <w:rsid w:val="008F2512"/>
    <w:rsid w:val="008F290F"/>
    <w:rsid w:val="008F29B5"/>
    <w:rsid w:val="008F2D1E"/>
    <w:rsid w:val="00900FCE"/>
    <w:rsid w:val="00901027"/>
    <w:rsid w:val="00901B8F"/>
    <w:rsid w:val="00902EFE"/>
    <w:rsid w:val="00904083"/>
    <w:rsid w:val="0090414E"/>
    <w:rsid w:val="00905399"/>
    <w:rsid w:val="009056F6"/>
    <w:rsid w:val="0090736E"/>
    <w:rsid w:val="009114C2"/>
    <w:rsid w:val="00912441"/>
    <w:rsid w:val="009141B5"/>
    <w:rsid w:val="009157D4"/>
    <w:rsid w:val="00915A72"/>
    <w:rsid w:val="009210F6"/>
    <w:rsid w:val="009228C1"/>
    <w:rsid w:val="00922964"/>
    <w:rsid w:val="00924FD3"/>
    <w:rsid w:val="0092658B"/>
    <w:rsid w:val="0093444A"/>
    <w:rsid w:val="00934650"/>
    <w:rsid w:val="0093503C"/>
    <w:rsid w:val="00937F11"/>
    <w:rsid w:val="009402B1"/>
    <w:rsid w:val="009405BE"/>
    <w:rsid w:val="009406D8"/>
    <w:rsid w:val="00940F1E"/>
    <w:rsid w:val="0094789F"/>
    <w:rsid w:val="00947BA4"/>
    <w:rsid w:val="009555BB"/>
    <w:rsid w:val="00955F19"/>
    <w:rsid w:val="009568E2"/>
    <w:rsid w:val="00957942"/>
    <w:rsid w:val="009603CF"/>
    <w:rsid w:val="00961BC0"/>
    <w:rsid w:val="0096260A"/>
    <w:rsid w:val="00963141"/>
    <w:rsid w:val="00963DB9"/>
    <w:rsid w:val="009642B9"/>
    <w:rsid w:val="00964E0D"/>
    <w:rsid w:val="00966DC9"/>
    <w:rsid w:val="00971F2A"/>
    <w:rsid w:val="0097337A"/>
    <w:rsid w:val="00975403"/>
    <w:rsid w:val="00975655"/>
    <w:rsid w:val="00975DF8"/>
    <w:rsid w:val="00976E5E"/>
    <w:rsid w:val="00977930"/>
    <w:rsid w:val="00977D96"/>
    <w:rsid w:val="009842F0"/>
    <w:rsid w:val="00987FD7"/>
    <w:rsid w:val="0099238D"/>
    <w:rsid w:val="00995146"/>
    <w:rsid w:val="00995841"/>
    <w:rsid w:val="009967DB"/>
    <w:rsid w:val="0099792C"/>
    <w:rsid w:val="009A01FA"/>
    <w:rsid w:val="009A164F"/>
    <w:rsid w:val="009A1F9D"/>
    <w:rsid w:val="009A271D"/>
    <w:rsid w:val="009A4F94"/>
    <w:rsid w:val="009A6CD9"/>
    <w:rsid w:val="009A7EBF"/>
    <w:rsid w:val="009B04C1"/>
    <w:rsid w:val="009B182B"/>
    <w:rsid w:val="009B1C76"/>
    <w:rsid w:val="009B1E57"/>
    <w:rsid w:val="009B2C7C"/>
    <w:rsid w:val="009B2E8B"/>
    <w:rsid w:val="009B53CE"/>
    <w:rsid w:val="009B7A3B"/>
    <w:rsid w:val="009B7F8A"/>
    <w:rsid w:val="009C0442"/>
    <w:rsid w:val="009C22FA"/>
    <w:rsid w:val="009C2857"/>
    <w:rsid w:val="009C3154"/>
    <w:rsid w:val="009C456C"/>
    <w:rsid w:val="009C4920"/>
    <w:rsid w:val="009D5B94"/>
    <w:rsid w:val="009D7FAE"/>
    <w:rsid w:val="009E0844"/>
    <w:rsid w:val="009E1A2E"/>
    <w:rsid w:val="009E5AEF"/>
    <w:rsid w:val="009E6BCC"/>
    <w:rsid w:val="009F0284"/>
    <w:rsid w:val="009F03EA"/>
    <w:rsid w:val="009F1B70"/>
    <w:rsid w:val="009F1FD5"/>
    <w:rsid w:val="009F3207"/>
    <w:rsid w:val="009F4198"/>
    <w:rsid w:val="009F76EE"/>
    <w:rsid w:val="00A040CE"/>
    <w:rsid w:val="00A04F2A"/>
    <w:rsid w:val="00A05186"/>
    <w:rsid w:val="00A1024E"/>
    <w:rsid w:val="00A15001"/>
    <w:rsid w:val="00A15C4F"/>
    <w:rsid w:val="00A160E9"/>
    <w:rsid w:val="00A166C8"/>
    <w:rsid w:val="00A169DB"/>
    <w:rsid w:val="00A20FA7"/>
    <w:rsid w:val="00A21A07"/>
    <w:rsid w:val="00A22E21"/>
    <w:rsid w:val="00A2624D"/>
    <w:rsid w:val="00A2648E"/>
    <w:rsid w:val="00A32F94"/>
    <w:rsid w:val="00A34B1B"/>
    <w:rsid w:val="00A410FB"/>
    <w:rsid w:val="00A42B40"/>
    <w:rsid w:val="00A5111C"/>
    <w:rsid w:val="00A52659"/>
    <w:rsid w:val="00A526B9"/>
    <w:rsid w:val="00A527E0"/>
    <w:rsid w:val="00A531AA"/>
    <w:rsid w:val="00A5466F"/>
    <w:rsid w:val="00A568C1"/>
    <w:rsid w:val="00A576AE"/>
    <w:rsid w:val="00A57795"/>
    <w:rsid w:val="00A578AF"/>
    <w:rsid w:val="00A5794B"/>
    <w:rsid w:val="00A606BB"/>
    <w:rsid w:val="00A610F3"/>
    <w:rsid w:val="00A623AF"/>
    <w:rsid w:val="00A6255C"/>
    <w:rsid w:val="00A62C2D"/>
    <w:rsid w:val="00A6519E"/>
    <w:rsid w:val="00A65D9B"/>
    <w:rsid w:val="00A67D46"/>
    <w:rsid w:val="00A71096"/>
    <w:rsid w:val="00A72CE0"/>
    <w:rsid w:val="00A72CEE"/>
    <w:rsid w:val="00A7408B"/>
    <w:rsid w:val="00A757CB"/>
    <w:rsid w:val="00A75867"/>
    <w:rsid w:val="00A76F0F"/>
    <w:rsid w:val="00A77271"/>
    <w:rsid w:val="00A80890"/>
    <w:rsid w:val="00A81F1C"/>
    <w:rsid w:val="00A82E09"/>
    <w:rsid w:val="00A83150"/>
    <w:rsid w:val="00A839C6"/>
    <w:rsid w:val="00A86034"/>
    <w:rsid w:val="00A8707A"/>
    <w:rsid w:val="00A87598"/>
    <w:rsid w:val="00A87AF6"/>
    <w:rsid w:val="00A92894"/>
    <w:rsid w:val="00A93257"/>
    <w:rsid w:val="00A9363F"/>
    <w:rsid w:val="00A93DB8"/>
    <w:rsid w:val="00AA1143"/>
    <w:rsid w:val="00AA2A96"/>
    <w:rsid w:val="00AA2B9C"/>
    <w:rsid w:val="00AA3664"/>
    <w:rsid w:val="00AA7DCF"/>
    <w:rsid w:val="00AB02A5"/>
    <w:rsid w:val="00AB27DC"/>
    <w:rsid w:val="00AB3851"/>
    <w:rsid w:val="00AB3C44"/>
    <w:rsid w:val="00AB3F4C"/>
    <w:rsid w:val="00AB456D"/>
    <w:rsid w:val="00AB534F"/>
    <w:rsid w:val="00AB56D1"/>
    <w:rsid w:val="00AB6DAE"/>
    <w:rsid w:val="00AB6E51"/>
    <w:rsid w:val="00AC0AE0"/>
    <w:rsid w:val="00AC1220"/>
    <w:rsid w:val="00AD0375"/>
    <w:rsid w:val="00AD1619"/>
    <w:rsid w:val="00AD3655"/>
    <w:rsid w:val="00AD3D83"/>
    <w:rsid w:val="00AD45A2"/>
    <w:rsid w:val="00AE086D"/>
    <w:rsid w:val="00AE13FC"/>
    <w:rsid w:val="00AE5361"/>
    <w:rsid w:val="00AE6D30"/>
    <w:rsid w:val="00AF0510"/>
    <w:rsid w:val="00AF0771"/>
    <w:rsid w:val="00AF13E8"/>
    <w:rsid w:val="00AF26A1"/>
    <w:rsid w:val="00AF2DA1"/>
    <w:rsid w:val="00AF2DEF"/>
    <w:rsid w:val="00AF30A6"/>
    <w:rsid w:val="00AF4350"/>
    <w:rsid w:val="00AF49D1"/>
    <w:rsid w:val="00AF5AE0"/>
    <w:rsid w:val="00AF6C44"/>
    <w:rsid w:val="00B004B7"/>
    <w:rsid w:val="00B00614"/>
    <w:rsid w:val="00B02CED"/>
    <w:rsid w:val="00B07046"/>
    <w:rsid w:val="00B0794C"/>
    <w:rsid w:val="00B10DC6"/>
    <w:rsid w:val="00B11130"/>
    <w:rsid w:val="00B12278"/>
    <w:rsid w:val="00B13906"/>
    <w:rsid w:val="00B13AA2"/>
    <w:rsid w:val="00B142BB"/>
    <w:rsid w:val="00B15451"/>
    <w:rsid w:val="00B15C59"/>
    <w:rsid w:val="00B165E7"/>
    <w:rsid w:val="00B23519"/>
    <w:rsid w:val="00B235E2"/>
    <w:rsid w:val="00B254AD"/>
    <w:rsid w:val="00B26136"/>
    <w:rsid w:val="00B27CD1"/>
    <w:rsid w:val="00B31107"/>
    <w:rsid w:val="00B32C9F"/>
    <w:rsid w:val="00B34D80"/>
    <w:rsid w:val="00B368AF"/>
    <w:rsid w:val="00B36B64"/>
    <w:rsid w:val="00B375E7"/>
    <w:rsid w:val="00B40346"/>
    <w:rsid w:val="00B451E0"/>
    <w:rsid w:val="00B45469"/>
    <w:rsid w:val="00B47144"/>
    <w:rsid w:val="00B518B9"/>
    <w:rsid w:val="00B56DAB"/>
    <w:rsid w:val="00B56E58"/>
    <w:rsid w:val="00B614B5"/>
    <w:rsid w:val="00B6539E"/>
    <w:rsid w:val="00B65E56"/>
    <w:rsid w:val="00B66FB3"/>
    <w:rsid w:val="00B67B93"/>
    <w:rsid w:val="00B70913"/>
    <w:rsid w:val="00B73188"/>
    <w:rsid w:val="00B77CEB"/>
    <w:rsid w:val="00B80C0F"/>
    <w:rsid w:val="00B823DE"/>
    <w:rsid w:val="00B82883"/>
    <w:rsid w:val="00B83401"/>
    <w:rsid w:val="00B845F8"/>
    <w:rsid w:val="00B8498B"/>
    <w:rsid w:val="00B9304E"/>
    <w:rsid w:val="00B93C5B"/>
    <w:rsid w:val="00B960CA"/>
    <w:rsid w:val="00B97320"/>
    <w:rsid w:val="00BA2CDF"/>
    <w:rsid w:val="00BA629B"/>
    <w:rsid w:val="00BA6888"/>
    <w:rsid w:val="00BA7710"/>
    <w:rsid w:val="00BB4632"/>
    <w:rsid w:val="00BB4BB3"/>
    <w:rsid w:val="00BB63D4"/>
    <w:rsid w:val="00BB6821"/>
    <w:rsid w:val="00BB6B9A"/>
    <w:rsid w:val="00BB76CF"/>
    <w:rsid w:val="00BB780B"/>
    <w:rsid w:val="00BC1486"/>
    <w:rsid w:val="00BC29D9"/>
    <w:rsid w:val="00BC347E"/>
    <w:rsid w:val="00BC4155"/>
    <w:rsid w:val="00BD1367"/>
    <w:rsid w:val="00BD3EDE"/>
    <w:rsid w:val="00BD6D28"/>
    <w:rsid w:val="00BD78E6"/>
    <w:rsid w:val="00BE0120"/>
    <w:rsid w:val="00BE251E"/>
    <w:rsid w:val="00BE4A77"/>
    <w:rsid w:val="00BE58C3"/>
    <w:rsid w:val="00BE6600"/>
    <w:rsid w:val="00BE6D08"/>
    <w:rsid w:val="00BE7B14"/>
    <w:rsid w:val="00BF15F3"/>
    <w:rsid w:val="00BF1FC9"/>
    <w:rsid w:val="00BF27BA"/>
    <w:rsid w:val="00BF6E26"/>
    <w:rsid w:val="00BF76B0"/>
    <w:rsid w:val="00C014D5"/>
    <w:rsid w:val="00C01AD6"/>
    <w:rsid w:val="00C01B35"/>
    <w:rsid w:val="00C028CE"/>
    <w:rsid w:val="00C048C0"/>
    <w:rsid w:val="00C077CB"/>
    <w:rsid w:val="00C10374"/>
    <w:rsid w:val="00C10EDE"/>
    <w:rsid w:val="00C14FEA"/>
    <w:rsid w:val="00C1532A"/>
    <w:rsid w:val="00C15F12"/>
    <w:rsid w:val="00C16615"/>
    <w:rsid w:val="00C17C16"/>
    <w:rsid w:val="00C20A8E"/>
    <w:rsid w:val="00C230D5"/>
    <w:rsid w:val="00C236F8"/>
    <w:rsid w:val="00C24090"/>
    <w:rsid w:val="00C2416E"/>
    <w:rsid w:val="00C24789"/>
    <w:rsid w:val="00C24E1B"/>
    <w:rsid w:val="00C24F4B"/>
    <w:rsid w:val="00C2546A"/>
    <w:rsid w:val="00C26481"/>
    <w:rsid w:val="00C30C42"/>
    <w:rsid w:val="00C32A58"/>
    <w:rsid w:val="00C32EC5"/>
    <w:rsid w:val="00C33F75"/>
    <w:rsid w:val="00C360B4"/>
    <w:rsid w:val="00C364C2"/>
    <w:rsid w:val="00C36FA5"/>
    <w:rsid w:val="00C407A7"/>
    <w:rsid w:val="00C40D87"/>
    <w:rsid w:val="00C46217"/>
    <w:rsid w:val="00C50B96"/>
    <w:rsid w:val="00C530FE"/>
    <w:rsid w:val="00C53DE2"/>
    <w:rsid w:val="00C53ED6"/>
    <w:rsid w:val="00C53F5D"/>
    <w:rsid w:val="00C54831"/>
    <w:rsid w:val="00C54F07"/>
    <w:rsid w:val="00C552EB"/>
    <w:rsid w:val="00C57D90"/>
    <w:rsid w:val="00C60EF1"/>
    <w:rsid w:val="00C645B6"/>
    <w:rsid w:val="00C6460E"/>
    <w:rsid w:val="00C646E9"/>
    <w:rsid w:val="00C64C6E"/>
    <w:rsid w:val="00C65002"/>
    <w:rsid w:val="00C65852"/>
    <w:rsid w:val="00C66FA6"/>
    <w:rsid w:val="00C67B18"/>
    <w:rsid w:val="00C72325"/>
    <w:rsid w:val="00C72E4D"/>
    <w:rsid w:val="00C74E11"/>
    <w:rsid w:val="00C8013C"/>
    <w:rsid w:val="00C82F62"/>
    <w:rsid w:val="00C82F8C"/>
    <w:rsid w:val="00C83460"/>
    <w:rsid w:val="00C840F4"/>
    <w:rsid w:val="00C85DCC"/>
    <w:rsid w:val="00C8609B"/>
    <w:rsid w:val="00C87132"/>
    <w:rsid w:val="00C87B1F"/>
    <w:rsid w:val="00C87D14"/>
    <w:rsid w:val="00C87E83"/>
    <w:rsid w:val="00C90F67"/>
    <w:rsid w:val="00C914CE"/>
    <w:rsid w:val="00C914F2"/>
    <w:rsid w:val="00C92A57"/>
    <w:rsid w:val="00C93A17"/>
    <w:rsid w:val="00C93B86"/>
    <w:rsid w:val="00C9441C"/>
    <w:rsid w:val="00C96F7B"/>
    <w:rsid w:val="00C97289"/>
    <w:rsid w:val="00CA0A80"/>
    <w:rsid w:val="00CA20B3"/>
    <w:rsid w:val="00CA28EA"/>
    <w:rsid w:val="00CA6660"/>
    <w:rsid w:val="00CA6927"/>
    <w:rsid w:val="00CA6B32"/>
    <w:rsid w:val="00CA6F30"/>
    <w:rsid w:val="00CA787C"/>
    <w:rsid w:val="00CA79D5"/>
    <w:rsid w:val="00CB160C"/>
    <w:rsid w:val="00CB5ED9"/>
    <w:rsid w:val="00CB6367"/>
    <w:rsid w:val="00CB6DF1"/>
    <w:rsid w:val="00CC05B1"/>
    <w:rsid w:val="00CC1960"/>
    <w:rsid w:val="00CC4DAD"/>
    <w:rsid w:val="00CD06E7"/>
    <w:rsid w:val="00CD178D"/>
    <w:rsid w:val="00CD25F1"/>
    <w:rsid w:val="00CD3F52"/>
    <w:rsid w:val="00CD5532"/>
    <w:rsid w:val="00CD5D68"/>
    <w:rsid w:val="00CD6171"/>
    <w:rsid w:val="00CE1FA0"/>
    <w:rsid w:val="00CE305B"/>
    <w:rsid w:val="00CE6905"/>
    <w:rsid w:val="00CF181A"/>
    <w:rsid w:val="00D00E84"/>
    <w:rsid w:val="00D01043"/>
    <w:rsid w:val="00D02954"/>
    <w:rsid w:val="00D05584"/>
    <w:rsid w:val="00D07480"/>
    <w:rsid w:val="00D07A55"/>
    <w:rsid w:val="00D10051"/>
    <w:rsid w:val="00D10332"/>
    <w:rsid w:val="00D11A55"/>
    <w:rsid w:val="00D11C5A"/>
    <w:rsid w:val="00D127AB"/>
    <w:rsid w:val="00D14057"/>
    <w:rsid w:val="00D15B4B"/>
    <w:rsid w:val="00D1627A"/>
    <w:rsid w:val="00D1644B"/>
    <w:rsid w:val="00D210C0"/>
    <w:rsid w:val="00D34814"/>
    <w:rsid w:val="00D35710"/>
    <w:rsid w:val="00D40AAF"/>
    <w:rsid w:val="00D419DB"/>
    <w:rsid w:val="00D47796"/>
    <w:rsid w:val="00D47FA3"/>
    <w:rsid w:val="00D517C3"/>
    <w:rsid w:val="00D51802"/>
    <w:rsid w:val="00D53B6F"/>
    <w:rsid w:val="00D53EAB"/>
    <w:rsid w:val="00D55443"/>
    <w:rsid w:val="00D5667B"/>
    <w:rsid w:val="00D57313"/>
    <w:rsid w:val="00D62B84"/>
    <w:rsid w:val="00D63A7F"/>
    <w:rsid w:val="00D66789"/>
    <w:rsid w:val="00D73A4B"/>
    <w:rsid w:val="00D75628"/>
    <w:rsid w:val="00D805E4"/>
    <w:rsid w:val="00D822BA"/>
    <w:rsid w:val="00D82C1D"/>
    <w:rsid w:val="00D84537"/>
    <w:rsid w:val="00D908F1"/>
    <w:rsid w:val="00D9106A"/>
    <w:rsid w:val="00D91822"/>
    <w:rsid w:val="00D918C9"/>
    <w:rsid w:val="00D91A5B"/>
    <w:rsid w:val="00D951B0"/>
    <w:rsid w:val="00D96AC1"/>
    <w:rsid w:val="00DA22EE"/>
    <w:rsid w:val="00DA5019"/>
    <w:rsid w:val="00DA58C9"/>
    <w:rsid w:val="00DA74B4"/>
    <w:rsid w:val="00DA78EA"/>
    <w:rsid w:val="00DB0048"/>
    <w:rsid w:val="00DB01FA"/>
    <w:rsid w:val="00DB24AB"/>
    <w:rsid w:val="00DB31EF"/>
    <w:rsid w:val="00DB5589"/>
    <w:rsid w:val="00DB57A0"/>
    <w:rsid w:val="00DB6791"/>
    <w:rsid w:val="00DB7F0F"/>
    <w:rsid w:val="00DC2805"/>
    <w:rsid w:val="00DC3B46"/>
    <w:rsid w:val="00DC4BD9"/>
    <w:rsid w:val="00DD00F7"/>
    <w:rsid w:val="00DD0853"/>
    <w:rsid w:val="00DD0FBE"/>
    <w:rsid w:val="00DD2A16"/>
    <w:rsid w:val="00DD4620"/>
    <w:rsid w:val="00DD5301"/>
    <w:rsid w:val="00DD5C01"/>
    <w:rsid w:val="00DD7532"/>
    <w:rsid w:val="00DE0034"/>
    <w:rsid w:val="00DE06EF"/>
    <w:rsid w:val="00DE0ADF"/>
    <w:rsid w:val="00DE1468"/>
    <w:rsid w:val="00DE18EF"/>
    <w:rsid w:val="00DE1C33"/>
    <w:rsid w:val="00DE3559"/>
    <w:rsid w:val="00DE381E"/>
    <w:rsid w:val="00DE45B3"/>
    <w:rsid w:val="00DE50CA"/>
    <w:rsid w:val="00DE5335"/>
    <w:rsid w:val="00DE6F53"/>
    <w:rsid w:val="00DE7DF4"/>
    <w:rsid w:val="00DF01DB"/>
    <w:rsid w:val="00DF070F"/>
    <w:rsid w:val="00DF1CAC"/>
    <w:rsid w:val="00DF2170"/>
    <w:rsid w:val="00DF26F0"/>
    <w:rsid w:val="00DF30BF"/>
    <w:rsid w:val="00DF43F3"/>
    <w:rsid w:val="00DF45C3"/>
    <w:rsid w:val="00DF4C89"/>
    <w:rsid w:val="00DF610F"/>
    <w:rsid w:val="00DF7E1B"/>
    <w:rsid w:val="00E006B4"/>
    <w:rsid w:val="00E01F55"/>
    <w:rsid w:val="00E0206F"/>
    <w:rsid w:val="00E02C1E"/>
    <w:rsid w:val="00E02F1E"/>
    <w:rsid w:val="00E0353F"/>
    <w:rsid w:val="00E03A6C"/>
    <w:rsid w:val="00E0441E"/>
    <w:rsid w:val="00E047E1"/>
    <w:rsid w:val="00E06CC3"/>
    <w:rsid w:val="00E07225"/>
    <w:rsid w:val="00E113AE"/>
    <w:rsid w:val="00E12C6D"/>
    <w:rsid w:val="00E13716"/>
    <w:rsid w:val="00E13F44"/>
    <w:rsid w:val="00E147EB"/>
    <w:rsid w:val="00E2034F"/>
    <w:rsid w:val="00E2133B"/>
    <w:rsid w:val="00E21C5C"/>
    <w:rsid w:val="00E2220A"/>
    <w:rsid w:val="00E22C4A"/>
    <w:rsid w:val="00E234F3"/>
    <w:rsid w:val="00E24EA0"/>
    <w:rsid w:val="00E250C4"/>
    <w:rsid w:val="00E27A75"/>
    <w:rsid w:val="00E32753"/>
    <w:rsid w:val="00E32FC2"/>
    <w:rsid w:val="00E3312E"/>
    <w:rsid w:val="00E477A9"/>
    <w:rsid w:val="00E51998"/>
    <w:rsid w:val="00E54CD0"/>
    <w:rsid w:val="00E56474"/>
    <w:rsid w:val="00E604BA"/>
    <w:rsid w:val="00E6084D"/>
    <w:rsid w:val="00E63639"/>
    <w:rsid w:val="00E63BE1"/>
    <w:rsid w:val="00E655BB"/>
    <w:rsid w:val="00E66846"/>
    <w:rsid w:val="00E70499"/>
    <w:rsid w:val="00E713DA"/>
    <w:rsid w:val="00E7479E"/>
    <w:rsid w:val="00E74AB9"/>
    <w:rsid w:val="00E74FED"/>
    <w:rsid w:val="00E76EC6"/>
    <w:rsid w:val="00E82AAA"/>
    <w:rsid w:val="00E83B48"/>
    <w:rsid w:val="00E87A7F"/>
    <w:rsid w:val="00E87BF4"/>
    <w:rsid w:val="00E9149D"/>
    <w:rsid w:val="00E927D7"/>
    <w:rsid w:val="00E92BED"/>
    <w:rsid w:val="00E93D57"/>
    <w:rsid w:val="00E96DB6"/>
    <w:rsid w:val="00EA0037"/>
    <w:rsid w:val="00EA0118"/>
    <w:rsid w:val="00EA1642"/>
    <w:rsid w:val="00EA2277"/>
    <w:rsid w:val="00EA22EE"/>
    <w:rsid w:val="00EA2587"/>
    <w:rsid w:val="00EA2B5D"/>
    <w:rsid w:val="00EA34E1"/>
    <w:rsid w:val="00EA7770"/>
    <w:rsid w:val="00EA7B56"/>
    <w:rsid w:val="00EA7DEA"/>
    <w:rsid w:val="00EB1C8C"/>
    <w:rsid w:val="00EB1D55"/>
    <w:rsid w:val="00EB22D0"/>
    <w:rsid w:val="00EB54F0"/>
    <w:rsid w:val="00EC332D"/>
    <w:rsid w:val="00EC5E93"/>
    <w:rsid w:val="00EC754C"/>
    <w:rsid w:val="00ED143A"/>
    <w:rsid w:val="00ED1A51"/>
    <w:rsid w:val="00ED1AE7"/>
    <w:rsid w:val="00ED20FF"/>
    <w:rsid w:val="00ED2680"/>
    <w:rsid w:val="00ED2CA5"/>
    <w:rsid w:val="00ED35C2"/>
    <w:rsid w:val="00ED3693"/>
    <w:rsid w:val="00ED6EC6"/>
    <w:rsid w:val="00ED7F7D"/>
    <w:rsid w:val="00EE5619"/>
    <w:rsid w:val="00EE5D78"/>
    <w:rsid w:val="00EE62C2"/>
    <w:rsid w:val="00EE7572"/>
    <w:rsid w:val="00EE76DD"/>
    <w:rsid w:val="00EE7A67"/>
    <w:rsid w:val="00EE7A9D"/>
    <w:rsid w:val="00EE7D05"/>
    <w:rsid w:val="00EF21FA"/>
    <w:rsid w:val="00EF2744"/>
    <w:rsid w:val="00EF287D"/>
    <w:rsid w:val="00EF312F"/>
    <w:rsid w:val="00EF4F7F"/>
    <w:rsid w:val="00EF610E"/>
    <w:rsid w:val="00F00B4B"/>
    <w:rsid w:val="00F00C40"/>
    <w:rsid w:val="00F05941"/>
    <w:rsid w:val="00F110F4"/>
    <w:rsid w:val="00F1132C"/>
    <w:rsid w:val="00F1381E"/>
    <w:rsid w:val="00F139E4"/>
    <w:rsid w:val="00F150C5"/>
    <w:rsid w:val="00F15497"/>
    <w:rsid w:val="00F157DE"/>
    <w:rsid w:val="00F20B78"/>
    <w:rsid w:val="00F2369D"/>
    <w:rsid w:val="00F3107E"/>
    <w:rsid w:val="00F32990"/>
    <w:rsid w:val="00F3667A"/>
    <w:rsid w:val="00F40320"/>
    <w:rsid w:val="00F40C1A"/>
    <w:rsid w:val="00F415A3"/>
    <w:rsid w:val="00F4247A"/>
    <w:rsid w:val="00F438ED"/>
    <w:rsid w:val="00F4592D"/>
    <w:rsid w:val="00F45AD3"/>
    <w:rsid w:val="00F47AE4"/>
    <w:rsid w:val="00F50DE4"/>
    <w:rsid w:val="00F51A34"/>
    <w:rsid w:val="00F5214A"/>
    <w:rsid w:val="00F52826"/>
    <w:rsid w:val="00F55C30"/>
    <w:rsid w:val="00F6162E"/>
    <w:rsid w:val="00F61C41"/>
    <w:rsid w:val="00F620AE"/>
    <w:rsid w:val="00F677CA"/>
    <w:rsid w:val="00F7377E"/>
    <w:rsid w:val="00F76427"/>
    <w:rsid w:val="00F76773"/>
    <w:rsid w:val="00F76975"/>
    <w:rsid w:val="00F85701"/>
    <w:rsid w:val="00F85D5B"/>
    <w:rsid w:val="00F901C3"/>
    <w:rsid w:val="00F9174B"/>
    <w:rsid w:val="00F91C63"/>
    <w:rsid w:val="00F91F4A"/>
    <w:rsid w:val="00F93854"/>
    <w:rsid w:val="00F93CA6"/>
    <w:rsid w:val="00F9467C"/>
    <w:rsid w:val="00F961F3"/>
    <w:rsid w:val="00F96BA1"/>
    <w:rsid w:val="00FA4E59"/>
    <w:rsid w:val="00FA4EB8"/>
    <w:rsid w:val="00FA7D3C"/>
    <w:rsid w:val="00FB10FC"/>
    <w:rsid w:val="00FB5089"/>
    <w:rsid w:val="00FB6E2B"/>
    <w:rsid w:val="00FC014C"/>
    <w:rsid w:val="00FC3FB4"/>
    <w:rsid w:val="00FC410C"/>
    <w:rsid w:val="00FC57B7"/>
    <w:rsid w:val="00FC6541"/>
    <w:rsid w:val="00FD23F4"/>
    <w:rsid w:val="00FD6049"/>
    <w:rsid w:val="00FD76BC"/>
    <w:rsid w:val="00FE01FC"/>
    <w:rsid w:val="00FE1CC7"/>
    <w:rsid w:val="00FE465F"/>
    <w:rsid w:val="00FE791C"/>
    <w:rsid w:val="00FE7B3F"/>
    <w:rsid w:val="00FF2585"/>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707D00C-A11D-4AC5-87A9-EDEBACD2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8D"/>
    <w:pPr>
      <w:spacing w:before="120" w:line="240" w:lineRule="atLeast"/>
      <w:ind w:left="-40"/>
    </w:pPr>
    <w:rPr>
      <w:rFonts w:asciiTheme="minorHAnsi" w:hAnsiTheme="minorHAnsi" w:cstheme="minorHAnsi"/>
      <w:bCs/>
      <w:iCs/>
      <w:color w:val="000000"/>
    </w:rPr>
  </w:style>
  <w:style w:type="paragraph" w:styleId="Heading1">
    <w:name w:val="heading 1"/>
    <w:basedOn w:val="Normal"/>
    <w:next w:val="Normal"/>
    <w:link w:val="Heading1Char"/>
    <w:qFormat/>
    <w:locked/>
    <w:rsid w:val="000F3A8D"/>
    <w:pPr>
      <w:keepNext/>
      <w:keepLines/>
      <w:spacing w:before="480"/>
      <w:outlineLvl w:val="0"/>
    </w:pPr>
    <w:rPr>
      <w:rFonts w:eastAsiaTheme="majorEastAsia"/>
      <w:b/>
      <w:bCs w:val="0"/>
      <w:color w:val="auto"/>
      <w:sz w:val="28"/>
      <w:szCs w:val="28"/>
    </w:rPr>
  </w:style>
  <w:style w:type="paragraph" w:styleId="Heading2">
    <w:name w:val="heading 2"/>
    <w:basedOn w:val="Normal"/>
    <w:next w:val="Normal"/>
    <w:link w:val="Heading2Char"/>
    <w:unhideWhenUsed/>
    <w:qFormat/>
    <w:locked/>
    <w:rsid w:val="000F3A8D"/>
    <w:pPr>
      <w:keepNext/>
      <w:keepLines/>
      <w:spacing w:before="200"/>
      <w:outlineLvl w:val="1"/>
    </w:pPr>
    <w:rPr>
      <w:rFonts w:eastAsiaTheme="majorEastAsia"/>
      <w:b/>
      <w:bCs w:val="0"/>
      <w:color w:val="auto"/>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2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F2DEF"/>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AF2DEF"/>
    <w:rPr>
      <w:rFonts w:cs="Times New Roman"/>
    </w:rPr>
  </w:style>
  <w:style w:type="paragraph" w:styleId="Footer">
    <w:name w:val="footer"/>
    <w:basedOn w:val="Normal"/>
    <w:link w:val="FooterChar"/>
    <w:uiPriority w:val="99"/>
    <w:semiHidden/>
    <w:rsid w:val="00AF2DEF"/>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AF2DEF"/>
    <w:rPr>
      <w:rFonts w:cs="Times New Roman"/>
    </w:rPr>
  </w:style>
  <w:style w:type="character" w:styleId="Hyperlink">
    <w:name w:val="Hyperlink"/>
    <w:basedOn w:val="DefaultParagraphFont"/>
    <w:uiPriority w:val="99"/>
    <w:rsid w:val="00173F33"/>
    <w:rPr>
      <w:rFonts w:cs="Times New Roman"/>
      <w:color w:val="0000FF"/>
      <w:u w:val="single"/>
    </w:rPr>
  </w:style>
  <w:style w:type="paragraph" w:styleId="ListParagraph">
    <w:name w:val="List Paragraph"/>
    <w:basedOn w:val="Normal"/>
    <w:uiPriority w:val="34"/>
    <w:qFormat/>
    <w:rsid w:val="00CD3F52"/>
    <w:pPr>
      <w:spacing w:line="240" w:lineRule="auto"/>
      <w:ind w:left="720"/>
      <w:contextualSpacing/>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103C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C31"/>
    <w:rPr>
      <w:rFonts w:ascii="Tahoma" w:hAnsi="Tahoma" w:cs="Tahoma"/>
      <w:sz w:val="16"/>
      <w:szCs w:val="16"/>
    </w:rPr>
  </w:style>
  <w:style w:type="paragraph" w:customStyle="1" w:styleId="StyleHeading2TimesNewRoman">
    <w:name w:val="Style Heading 2 + Times New Roman"/>
    <w:basedOn w:val="Normal"/>
    <w:rsid w:val="000F3A8D"/>
    <w:pPr>
      <w:keepNext/>
      <w:spacing w:before="240" w:after="240" w:line="240" w:lineRule="auto"/>
      <w:ind w:left="1440" w:hanging="720"/>
    </w:pPr>
    <w:rPr>
      <w:rFonts w:ascii="Times New Roman" w:eastAsiaTheme="minorHAnsi" w:hAnsi="Times New Roman"/>
      <w:b/>
      <w:bCs w:val="0"/>
      <w:i/>
      <w:iCs w:val="0"/>
      <w:sz w:val="24"/>
      <w:szCs w:val="24"/>
    </w:rPr>
  </w:style>
  <w:style w:type="character" w:customStyle="1" w:styleId="Heading1Char">
    <w:name w:val="Heading 1 Char"/>
    <w:basedOn w:val="DefaultParagraphFont"/>
    <w:link w:val="Heading1"/>
    <w:rsid w:val="000F3A8D"/>
    <w:rPr>
      <w:rFonts w:asciiTheme="minorHAnsi" w:eastAsiaTheme="majorEastAsia" w:hAnsiTheme="minorHAnsi" w:cstheme="minorHAnsi"/>
      <w:b/>
      <w:iCs/>
      <w:sz w:val="28"/>
      <w:szCs w:val="28"/>
    </w:rPr>
  </w:style>
  <w:style w:type="character" w:customStyle="1" w:styleId="Heading2Char">
    <w:name w:val="Heading 2 Char"/>
    <w:basedOn w:val="DefaultParagraphFont"/>
    <w:link w:val="Heading2"/>
    <w:uiPriority w:val="99"/>
    <w:rsid w:val="000F3A8D"/>
    <w:rPr>
      <w:rFonts w:asciiTheme="minorHAnsi" w:eastAsiaTheme="majorEastAsia" w:hAnsiTheme="minorHAnsi" w:cstheme="minorHAnsi"/>
      <w:b/>
      <w:iCs/>
      <w:sz w:val="26"/>
      <w:szCs w:val="26"/>
    </w:rPr>
  </w:style>
  <w:style w:type="character" w:styleId="CommentReference">
    <w:name w:val="annotation reference"/>
    <w:basedOn w:val="DefaultParagraphFont"/>
    <w:uiPriority w:val="99"/>
    <w:rsid w:val="00DD2A16"/>
    <w:rPr>
      <w:rFonts w:cs="Times New Roman"/>
      <w:sz w:val="16"/>
      <w:szCs w:val="16"/>
    </w:rPr>
  </w:style>
  <w:style w:type="paragraph" w:styleId="CommentText">
    <w:name w:val="annotation text"/>
    <w:basedOn w:val="Normal"/>
    <w:link w:val="CommentTextChar"/>
    <w:uiPriority w:val="99"/>
    <w:rsid w:val="00DD2A16"/>
    <w:pPr>
      <w:spacing w:before="0" w:after="240" w:line="240" w:lineRule="auto"/>
      <w:ind w:left="0"/>
    </w:pPr>
    <w:rPr>
      <w:rFonts w:ascii="Times New Roman" w:eastAsia="Times New Roman" w:hAnsi="Times New Roman" w:cs="Times New Roman"/>
      <w:bCs w:val="0"/>
      <w:iCs w:val="0"/>
      <w:color w:val="auto"/>
      <w:sz w:val="20"/>
      <w:szCs w:val="20"/>
    </w:rPr>
  </w:style>
  <w:style w:type="character" w:customStyle="1" w:styleId="CommentTextChar">
    <w:name w:val="Comment Text Char"/>
    <w:basedOn w:val="DefaultParagraphFont"/>
    <w:link w:val="CommentText"/>
    <w:uiPriority w:val="99"/>
    <w:rsid w:val="00DD2A16"/>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19</Pages>
  <Words>4106</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National Marrow Donor Program</vt:lpstr>
    </vt:vector>
  </TitlesOfParts>
  <Company>NMDP</Company>
  <LinksUpToDate>false</LinksUpToDate>
  <CharactersWithSpaces>28696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Marrow Donor Program</dc:title>
  <dc:subject/>
  <dc:creator>Chrisanne Hall</dc:creator>
  <cp:keywords/>
  <dc:description/>
  <cp:lastModifiedBy>Ann Kemp</cp:lastModifiedBy>
  <cp:revision>7</cp:revision>
  <cp:lastPrinted>2015-01-16T14:16:00Z</cp:lastPrinted>
  <dcterms:created xsi:type="dcterms:W3CDTF">2015-03-05T14:19:00Z</dcterms:created>
  <dcterms:modified xsi:type="dcterms:W3CDTF">2015-04-16T18:14:00Z</dcterms:modified>
</cp:coreProperties>
</file>